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Magnehelic Gauge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MGM-0016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Dwyer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 to 25 mmWC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08 to 15 mmWC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mmWC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 4%F.S.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 4%F.S.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Quality Control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LAF In Sterility Room , QC - 1053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3 .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4 .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5 .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6 .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