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편차 보고서 (Deviation Report)</w:t>
      </w:r>
    </w:p>
    <w:p>
      <w:pPr>
        <w:pBdr>
          <w:bottom w:val="single" w:color="1F3864" w:sz="12"/>
        </w:pBdr>
        <w:spacing w:after="160"/>
        <w:jc w:val="center"/>
      </w:pPr>
      <w:r>
        <w:rPr>
          <w:rFonts w:ascii="맑은 고딕" w:cs="맑은 고딕" w:eastAsia="맑은 고딕" w:hAnsi="맑은 고딕"/>
          <w:color w:val="808080"/>
          <w:sz w:val="17"/>
          <w:szCs w:val="17"/>
        </w:rPr>
        <w:t xml:space="preserve">GMP Deviation / CAPA Record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100"/>
        <w:gridCol w:w="2853"/>
        <w:gridCol w:w="1100"/>
        <w:gridCol w:w="1853"/>
      </w:tblGrid>
      <w:tr>
        <w:tc>
          <w:tcPr>
            <w:tcW w:type="dxa" w:w="2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문서번호 (Doc No.)</w:t>
            </w:r>
          </w:p>
        </w:tc>
        <w:tc>
          <w:tcPr>
            <w:tcW w:type="dxa" w:w="28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QA-DEV-F-001</w:t>
            </w:r>
          </w:p>
        </w:tc>
        <w:tc>
          <w:tcPr>
            <w:tcW w:type="dxa" w:w="1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Rev.</w:t>
            </w:r>
          </w:p>
        </w:tc>
        <w:tc>
          <w:tcPr>
            <w:tcW w:type="dxa" w:w="18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00</w:t>
            </w:r>
          </w:p>
        </w:tc>
      </w:tr>
      <w:tr>
        <w:tc>
          <w:tcPr>
            <w:tcW w:type="dxa" w:w="2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서식 유효일</w:t>
            </w:r>
          </w:p>
        </w:tc>
        <w:tc>
          <w:tcPr>
            <w:tcW w:type="dxa" w:w="28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페이지</w:t>
            </w:r>
          </w:p>
        </w:tc>
        <w:tc>
          <w:tcPr>
            <w:tcW w:type="dxa" w:w="18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 / __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1. 편차 개요 (Header)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편차번호
(Deviation No.)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DV-YYYY-____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발생일시
(Occurred)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YYYY-MM-DD  HH:MM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발견일시
(Detected)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YYYY-MM-DD  HH:MM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작성자 / 부서
(Author / Dept.)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성명 __________  /  부서 __________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제품명
(Product)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배치번호
(Batch / Lot No.)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공정 단계
(Process Step)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예) Cell Culture / Purification / Fill-Finish 등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발생 위치
(Location / Area)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관련 설비
(Equipment)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설비명 / 관리번호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관련 문서(SOP)
(Ref. Documents)</w:t>
            </w:r>
          </w:p>
        </w:tc>
        <w:tc>
          <w:tcPr>
            <w:tcW w:type="dxa" w:w="275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 No. / Batch Record No.</w:t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2. 편차 분류 (Classification)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등급
(Grade)</w:t>
            </w:r>
          </w:p>
        </w:tc>
        <w:tc>
          <w:tcPr>
            <w:tcW w:type="dxa" w:w="7706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Minor      ☐ Major      ☐ Critical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유형
(Type)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공정 (Process)   ☐ 설비 (Equipment)   ☐ 문서 (Documentation)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환경 (Environmental)   ☐ 자재 (Material)   ☐ 기타 (Other): __________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계획/비계획
(Planned?)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비계획 편차 (Unplanned)      ☐ 계획 편차 (Planned / Pre-approved)</w:t>
            </w:r>
          </w:p>
        </w:tc>
      </w:tr>
    </w:tbl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등급 판정 근거는 §5 영향평가 결과와 정합되어야 하며, 판정자·판정일을 검토란(§10)에 기재한다.</w:t>
      </w:r>
    </w:p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3. 편차 상세 기술 (Description — What Happened)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규격/기준값과 실측값을 대비하고, 발생 경위를 시간순으로 객관적으로 기술한다. (추정·의견 배제)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3306"/>
        <w:gridCol w:w="3300"/>
        <w:gridCol w:w="3300"/>
      </w:tblGrid>
      <w:tr>
        <w:tc>
          <w:tcPr>
            <w:tcW w:type="dxa" w:w="330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항목 (Parameter)</w:t>
            </w:r>
          </w:p>
        </w:tc>
        <w:tc>
          <w:tcPr>
            <w:tcW w:type="dxa" w:w="3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규격 / 기준값 (Spec / Limit)</w:t>
            </w:r>
          </w:p>
        </w:tc>
        <w:tc>
          <w:tcPr>
            <w:tcW w:type="dxa" w:w="3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실측값 (Observed)</w:t>
            </w:r>
          </w:p>
        </w:tc>
      </w:tr>
      <w:tr>
        <w:trPr>
          <w:trHeight w:val="320" w:hRule="atLeast"/>
        </w:trPr>
        <w:tc>
          <w:tcPr>
            <w:tcW w:type="dxa" w:w="3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7"/>
          <w:szCs w:val="17"/>
        </w:rPr>
        <w:t xml:space="preserve">발생 경위 (Timeline / Chronological Account)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300" w:hRule="atLeast"/>
        </w:trP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4. 즉각 조치 (Immediate Action / Containment)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확산 방지를 위해 취한 격리·중단·표시 등 즉각 대응을 기술한다.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배치/제품 격리 (Quarantine)    ☐ 공정 중단 (Stop)    ☐ 설비 사용중지·표시 (Tag-out)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샘플 채취/보관 (Retain)    ☐ 상위 보고 (Escalation)    ☐ 기타: __________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7"/>
          <w:szCs w:val="17"/>
        </w:rPr>
        <w:t xml:space="preserve">조치 상세 / 조치자 / 일시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300" w:hRule="atLeast"/>
        </w:trP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5. 영향 평가 (Impact Assessment)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각 항목별 영향 유무를 판정하고, 근거 데이터·시험결과를 인용한다.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5006"/>
      </w:tblGrid>
      <w:tr>
        <w:tc>
          <w:tcPr>
            <w:tcW w:type="dxa" w:w="25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평가 대상 (Object)</w:t>
            </w:r>
          </w:p>
        </w:tc>
        <w:tc>
          <w:tcPr>
            <w:tcW w:type="dxa" w:w="24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영향 (Impact)</w:t>
            </w:r>
          </w:p>
        </w:tc>
        <w:tc>
          <w:tcPr>
            <w:tcW w:type="dxa" w:w="500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판정 근거 / 인용 데이터 (Justification &amp; Reference Data)</w:t>
            </w:r>
          </w:p>
        </w:tc>
      </w:tr>
      <w:tr>
        <w:trPr>
          <w:trHeight w:val="360" w:hRule="atLeast"/>
        </w:trPr>
        <w:tc>
          <w:tcPr>
            <w:tcW w:type="dxa" w:w="25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제품 품질 (Product Quality / CQA)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무 / ☐ 유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5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공정 (Process / In-process)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무 / ☐ 유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5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인접·후속 배치 (Adjacent / Subsequent Batch)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무 / ☐ 유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5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밸리데이션 상태 (Validation / Qualification)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무 / ☐ 유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5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규제·등록 (Regulatory / Registration)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무 / ☐ 유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7"/>
          <w:szCs w:val="17"/>
        </w:rPr>
        <w:t xml:space="preserve">종합 영향 결론 (Overall Conclusion)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300" w:hRule="atLeast"/>
        </w:trP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6. 조사 (Investigation)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조사 범위·방법 및 검토한 관련 기록을 기술한다.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조사 범위
(Scope)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조사 방법
(Method)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기록 검토  ☐ 현장 확인  ☐ 인터뷰  ☐ 재현 시험  ☐ 데이터 분석(Trend)  ☐ 기타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검토 기록
(Records Reviewed)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Batch Record / Logbook / 교육기록 / 교정기록 등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7"/>
          <w:szCs w:val="17"/>
        </w:rPr>
        <w:t xml:space="preserve">조사 결과 요약 (Findings)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300" w:hRule="atLeast"/>
        </w:trP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7. 근본 원인 분석 (Root Cause Analysis)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적용할 분석 도구를 선택하고, 선택한 도구의 기입란만 작성한다. (프로세스·시스템 수준의 근본 원인까지 도달)</w:t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7"/>
          <w:szCs w:val="17"/>
        </w:rPr>
        <w:t xml:space="preserve">분석 도구 선택 (Select Method)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5 Whys          ☐ Fishbone (특성요인도 / Ishikawa, 6M)          ☐ 기타 (Other): __________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8"/>
          <w:szCs w:val="18"/>
        </w:rPr>
        <w:t xml:space="preserve">[선택 A] 5 Whys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문제 정의에서 출발해 '왜'를 반복하며 원인 계층을 파고든다.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300"/>
        <w:gridCol w:w="8606"/>
      </w:tblGrid>
      <w:tr>
        <w:tc>
          <w:tcPr>
            <w:tcW w:type="dxa" w:w="1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문제 정의 (Problem Statement)</w:t>
            </w:r>
          </w:p>
        </w:tc>
        <w:tc>
          <w:tcPr>
            <w:tcW w:type="dxa" w:w="86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Why 1</w:t>
            </w:r>
          </w:p>
        </w:tc>
        <w:tc>
          <w:tcPr>
            <w:tcW w:type="dxa" w:w="86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Why 2</w:t>
            </w:r>
          </w:p>
        </w:tc>
        <w:tc>
          <w:tcPr>
            <w:tcW w:type="dxa" w:w="86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Why 3</w:t>
            </w:r>
          </w:p>
        </w:tc>
        <w:tc>
          <w:tcPr>
            <w:tcW w:type="dxa" w:w="86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Why 4</w:t>
            </w:r>
          </w:p>
        </w:tc>
        <w:tc>
          <w:tcPr>
            <w:tcW w:type="dxa" w:w="86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3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Why 5</w:t>
            </w:r>
          </w:p>
        </w:tc>
        <w:tc>
          <w:tcPr>
            <w:tcW w:type="dxa" w:w="86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8"/>
          <w:szCs w:val="18"/>
        </w:rPr>
        <w:t xml:space="preserve">[선택 B] Fishbone — 특성요인도 (6M)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특성(문제)을 정의하고, 6개 요인 범주별로 잠재 원인을 도출한다.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특성 / 문제 (Effect)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요인 범주 (Category)</w:t>
            </w:r>
          </w:p>
        </w:tc>
        <w:tc>
          <w:tcPr>
            <w:tcW w:type="dxa" w:w="730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잠재 원인 (Potential Causes)</w:t>
            </w:r>
          </w:p>
        </w:tc>
      </w:tr>
      <w:tr>
        <w:trPr>
          <w:trHeight w:val="360" w:hRule="atLeast"/>
        </w:trPr>
        <w:tc>
          <w:tcPr>
            <w:tcW w:type="dxa" w:w="26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 (사람 / 교육·숙련도)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Machine (설비 / 장비)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Method (방법 / 절차·SOP)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 (자재 / 원부자재)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Measurement (측정 / 시험·계측)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Environment (환경 / 시설·공조)</w:t>
            </w:r>
          </w:p>
        </w:tc>
        <w:tc>
          <w:tcPr>
            <w:tcW w:type="dxa" w:w="73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7"/>
          <w:szCs w:val="17"/>
        </w:rPr>
        <w:t xml:space="preserve">근본 원인 결론 (Root Cause — Process / System Level)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300" w:hRule="atLeast"/>
        </w:trP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9906"/>
            <w:tcBorders>
              <w:top w:val="none" w:color="FFFFFF" w:sz="0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8. CAPA (Corrective &amp; Preventive Action)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시정조치(원인 제거)와 예방조치(재발 방지·수평전개)를 구분하여 담당자·완료예정일과 함께 명시한다.</w:t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8"/>
          <w:szCs w:val="18"/>
        </w:rPr>
        <w:t xml:space="preserve">① 시정조치 (Corrective Action)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700"/>
        <w:gridCol w:w="5006"/>
        <w:gridCol w:w="2100"/>
        <w:gridCol w:w="2100"/>
      </w:tblGrid>
      <w:tr>
        <w:tc>
          <w:tcPr>
            <w:tcW w:type="dxa" w:w="7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No.</w:t>
            </w:r>
          </w:p>
        </w:tc>
        <w:tc>
          <w:tcPr>
            <w:tcW w:type="dxa" w:w="500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조치 내용 (Action)</w:t>
            </w:r>
          </w:p>
        </w:tc>
        <w:tc>
          <w:tcPr>
            <w:tcW w:type="dxa" w:w="2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담당자 (Owner)</w:t>
            </w:r>
          </w:p>
        </w:tc>
        <w:tc>
          <w:tcPr>
            <w:tcW w:type="dxa" w:w="2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완료예정일 (Due)</w:t>
            </w:r>
          </w:p>
        </w:tc>
      </w:tr>
      <w:tr>
        <w:trPr>
          <w:trHeight w:val="340" w:hRule="atLeast"/>
        </w:trP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3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18"/>
          <w:szCs w:val="18"/>
        </w:rPr>
        <w:t xml:space="preserve">② 예방조치 (Preventive Action)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700"/>
        <w:gridCol w:w="5006"/>
        <w:gridCol w:w="2100"/>
        <w:gridCol w:w="2100"/>
      </w:tblGrid>
      <w:tr>
        <w:tc>
          <w:tcPr>
            <w:tcW w:type="dxa" w:w="7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No.</w:t>
            </w:r>
          </w:p>
        </w:tc>
        <w:tc>
          <w:tcPr>
            <w:tcW w:type="dxa" w:w="500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조치 내용 (Action)</w:t>
            </w:r>
          </w:p>
        </w:tc>
        <w:tc>
          <w:tcPr>
            <w:tcW w:type="dxa" w:w="2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담당자 (Owner)</w:t>
            </w:r>
          </w:p>
        </w:tc>
        <w:tc>
          <w:tcPr>
            <w:tcW w:type="dxa" w:w="21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완료예정일 (Due)</w:t>
            </w:r>
          </w:p>
        </w:tc>
      </w:tr>
      <w:tr>
        <w:trPr>
          <w:trHeight w:val="340" w:hRule="atLeast"/>
        </w:trP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9. 효과성 검증 (Effectiveness Check)</w:t>
      </w:r>
    </w:p>
    <w:p>
      <w:pPr>
        <w:spacing w:after="40" w:before="1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CAPA 완료 후 재발 여부를 확인하는 방법·주기·판정 기준을 정의한다.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검증 방법
(Method)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예) 후속 3개 배치 모니터링 / 감사 / Trend 분석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검증 주기·기한
(Period)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판정 기준
(Acceptance)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재발 0건 등 정량 기준 명시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검증 결과
(Result)</w:t>
            </w:r>
          </w:p>
        </w:tc>
        <w:tc>
          <w:tcPr>
            <w:tcW w:type="dxa" w:w="77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유효 (Effective)      ☐ 불충분 → 재조치 (Not Effective)      확인자·일자: __________</w:t>
            </w:r>
          </w:p>
        </w:tc>
      </w:tr>
    </w:tbl>
    <w:p>
      <w:pPr>
        <w:pBdr>
          <w:bottom w:val="single" w:color="1F3864" w:sz="2"/>
        </w:pBdr>
        <w:shd w:fill="1F3864" w:color="auto" w:val="clear"/>
        <w:spacing w:after="90" w:before="220"/>
      </w:pPr>
      <w:r>
        <w:rPr>
          <w:rFonts w:ascii="맑은 고딕" w:cs="맑은 고딕" w:eastAsia="맑은 고딕" w:hAnsi="맑은 고딕"/>
          <w:b/>
          <w:bCs/>
          <w:color w:val="FFFFFF"/>
          <w:sz w:val="21"/>
          <w:szCs w:val="21"/>
        </w:rPr>
        <w:t xml:space="preserve">  10. 검토 및 승인 (Review &amp; Approval)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506"/>
        <w:gridCol w:w="2800"/>
        <w:gridCol w:w="2400"/>
        <w:gridCol w:w="2200"/>
      </w:tblGrid>
      <w:tr>
        <w:tc>
          <w:tcPr>
            <w:tcW w:type="dxa" w:w="2506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구분 (Role)</w:t>
            </w:r>
          </w:p>
        </w:tc>
        <w:tc>
          <w:tcPr>
            <w:tcW w:type="dxa" w:w="28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성명 (Name)</w:t>
            </w:r>
          </w:p>
        </w:tc>
        <w:tc>
          <w:tcPr>
            <w:tcW w:type="dxa" w:w="24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서명 (Signature)</w:t>
            </w:r>
          </w:p>
        </w:tc>
        <w:tc>
          <w:tcPr>
            <w:tcW w:type="dxa" w:w="2200"/>
            <w:shd w:fill="D9E1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일자 (Date)</w:t>
            </w:r>
          </w:p>
        </w:tc>
      </w:tr>
      <w:tr>
        <w:trPr>
          <w:trHeight w:val="500" w:hRule="atLeast"/>
        </w:trPr>
        <w:tc>
          <w:tcPr>
            <w:tcW w:type="dxa" w:w="2506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작성자 (Author)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506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검토 (QA Review)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506"/>
            <w:shd w:fill="EDF1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승인자 (Approver / QA Head)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30"/>
      </w:pPr>
      <w:r>
        <w:rPr>
          <w:rFonts w:ascii="맑은 고딕" w:cs="맑은 고딕" w:eastAsia="맑은 고딕" w:hAnsi="맑은 고딕"/>
          <w:i/>
          <w:iCs/>
          <w:color w:val="808080"/>
          <w:sz w:val="15"/>
          <w:szCs w:val="15"/>
        </w:rPr>
        <w:t xml:space="preserve">※ 본 편차는 종결(Close-out) 승인 시점에 관련 배치의 처분(Disposition) 판정과 연계하여 관리한다.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A6A6A6"/>
        <w:sz w:val="14"/>
        <w:szCs w:val="14"/>
      </w:rPr>
      <w:t xml:space="preserve">Page </w:t>
    </w:r>
    <w:r>
      <w:rPr>
        <w:rFonts w:ascii="맑은 고딕" w:cs="맑은 고딕" w:eastAsia="맑은 고딕" w:hAnsi="맑은 고딕"/>
        <w:color w:val="A6A6A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6A6A6"/>
        <w:sz w:val="14"/>
        <w:szCs w:val="14"/>
      </w:rPr>
      <w:t xml:space="preserve"> of </w:t>
    </w:r>
    <w:r>
      <w:rPr>
        <w:rFonts w:ascii="맑은 고딕" w:cs="맑은 고딕" w:eastAsia="맑은 고딕" w:hAnsi="맑은 고딕"/>
        <w:color w:val="A6A6A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맑은 고딕" w:cs="맑은 고딕" w:eastAsia="맑은 고딕" w:hAnsi="맑은 고딕"/>
        <w:color w:val="A6A6A6"/>
        <w:sz w:val="14"/>
        <w:szCs w:val="14"/>
      </w:rPr>
      <w:t xml:space="preserve">GMP Deviation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편차 보고서 (Deviation Report)</dc:title>
  <dc:creator>Talent Development</dc:creator>
  <cp:lastModifiedBy>Un-named</cp:lastModifiedBy>
  <cp:revision>1</cp:revision>
  <dcterms:created xsi:type="dcterms:W3CDTF">2026-07-11T23:38:50.925Z</dcterms:created>
  <dcterms:modified xsi:type="dcterms:W3CDTF">2026-07-11T23:38:50.936Z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