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Process Parameter Guide — Definitions, Units, and Operating Ranges</w:t>
      </w:r>
    </w:p>
    <w:p>
      <w:r>
        <w:rPr>
          <w:i/>
          <w:color w:val="6B6B6B"/>
          <w:sz w:val="18"/>
        </w:rPr>
        <w:t>Document ID: PTD-02 | Revision: 5.4 | Effective: 2025-12-02</w:t>
      </w:r>
    </w:p>
    <w:p>
      <w:pPr>
        <w:pStyle w:val="Heading2"/>
      </w:pPr>
      <w:r>
        <w:t>1. Purpose</w:t>
      </w:r>
    </w:p>
    <w:p>
      <w:r>
        <w:t>This guide defines each process parameter used in batch records and analytics, its unit, and its normal operating range (NOR) / target. Parameter names follow the dataset convention [stage][substage]Parameter_stat, where the statistic suffix denotes how a time series is summarized (mean/max/min/std/first/last/slope/sum/rate/duration_hr/_BI baseline-initial/_0..N timepoints). All ranges below are mutually consistent with the control strategy (PTD-08) and golden-batch criteria (PTD-04).</w:t>
      </w:r>
    </w:p>
    <w:p>
      <w:pPr>
        <w:pStyle w:val="Heading2"/>
      </w:pPr>
      <w:r>
        <w:t>2. Seed Flask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Target / NOR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[flask_filtered][flask]125mL_Final VCD</w:t>
            </w:r>
          </w:p>
        </w:tc>
        <w:tc>
          <w:tcPr>
            <w:tcW w:type="dxa" w:w="2160"/>
          </w:tcPr>
          <w:p>
            <w:r>
              <w:t>×10^6 cells/mL</w:t>
            </w:r>
          </w:p>
        </w:tc>
        <w:tc>
          <w:tcPr>
            <w:tcW w:type="dxa" w:w="2160"/>
          </w:tcPr>
          <w:p>
            <w:r>
              <w:t>3.0 – 5.0</w:t>
            </w:r>
          </w:p>
        </w:tc>
        <w:tc>
          <w:tcPr>
            <w:tcW w:type="dxa" w:w="2160"/>
          </w:tcPr>
          <w:p>
            <w:r>
              <w:t>Final inoculum density; higher end preferred</w:t>
            </w:r>
          </w:p>
        </w:tc>
      </w:tr>
      <w:tr>
        <w:tc>
          <w:tcPr>
            <w:tcW w:type="dxa" w:w="2160"/>
          </w:tcPr>
          <w:p>
            <w:r>
              <w:t>[flask_filtered][flask]125mL_Final Viability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≥ 95</w:t>
            </w:r>
          </w:p>
        </w:tc>
        <w:tc>
          <w:tcPr>
            <w:tcW w:type="dxa" w:w="2160"/>
          </w:tcPr>
          <w:p>
            <w:r>
              <w:t>Seed health; positive driver of final yield</w:t>
            </w:r>
          </w:p>
        </w:tc>
      </w:tr>
    </w:tbl>
    <w:p>
      <w:pPr>
        <w:pStyle w:val="Heading2"/>
      </w:pPr>
      <w:r>
        <w:t>3. Media Preparation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Target / NOR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[media_prep][media][Media B] Osmo</w:t>
            </w:r>
          </w:p>
        </w:tc>
        <w:tc>
          <w:tcPr>
            <w:tcW w:type="dxa" w:w="2160"/>
          </w:tcPr>
          <w:p>
            <w:r>
              <w:t>mOsm/kg</w:t>
            </w:r>
          </w:p>
        </w:tc>
        <w:tc>
          <w:tcPr>
            <w:tcW w:type="dxa" w:w="2160"/>
          </w:tcPr>
          <w:p>
            <w:r>
              <w:t>310 ± 15 (295–325)</w:t>
            </w:r>
          </w:p>
        </w:tc>
        <w:tc>
          <w:tcPr>
            <w:tcW w:type="dxa" w:w="2160"/>
          </w:tcPr>
          <w:p>
            <w:r>
              <w:t>U-shaped effect: deviation either direction reduces yield</w:t>
            </w:r>
          </w:p>
        </w:tc>
      </w:tr>
      <w:tr>
        <w:tc>
          <w:tcPr>
            <w:tcW w:type="dxa" w:w="2160"/>
          </w:tcPr>
          <w:p>
            <w:r>
              <w:t>[media_prep][media][Media B] Glucose_Conc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4.0 – 6.0</w:t>
            </w:r>
          </w:p>
        </w:tc>
        <w:tc>
          <w:tcPr>
            <w:tcW w:type="dxa" w:w="2160"/>
          </w:tcPr>
          <w:p>
            <w:r>
              <w:t>Feed glucose; over-feeding drives pH/metabolic drift</w:t>
            </w:r>
          </w:p>
        </w:tc>
      </w:tr>
      <w:tr>
        <w:tc>
          <w:tcPr>
            <w:tcW w:type="dxa" w:w="2160"/>
          </w:tcPr>
          <w:p>
            <w:r>
              <w:t>[media_prep][media][Media_A] pH-Final</w:t>
            </w:r>
          </w:p>
        </w:tc>
        <w:tc>
          <w:tcPr>
            <w:tcW w:type="dxa" w:w="2160"/>
          </w:tcPr>
          <w:p>
            <w:r>
              <w:t>pH</w:t>
            </w:r>
          </w:p>
        </w:tc>
        <w:tc>
          <w:tcPr>
            <w:tcW w:type="dxa" w:w="2160"/>
          </w:tcPr>
          <w:p>
            <w:r>
              <w:t>7.0 – 7.2</w:t>
            </w:r>
          </w:p>
        </w:tc>
        <w:tc>
          <w:tcPr>
            <w:tcW w:type="dxa" w:w="2160"/>
          </w:tcPr>
          <w:p>
            <w:r>
              <w:t>Basal media pH after compounding</w:t>
            </w:r>
          </w:p>
        </w:tc>
      </w:tr>
    </w:tbl>
    <w:p>
      <w:pPr>
        <w:pStyle w:val="Heading2"/>
      </w:pPr>
      <w:r>
        <w:t>4. Production Bioreactor — Batch Summary (_BI)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Target / NOR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[prd_final]VCD_BI</w:t>
            </w:r>
          </w:p>
        </w:tc>
        <w:tc>
          <w:tcPr>
            <w:tcW w:type="dxa" w:w="2160"/>
          </w:tcPr>
          <w:p>
            <w:r>
              <w:t>×10^6 cells/mL</w:t>
            </w:r>
          </w:p>
        </w:tc>
        <w:tc>
          <w:tcPr>
            <w:tcW w:type="dxa" w:w="2160"/>
          </w:tcPr>
          <w:p>
            <w:r>
              <w:t>18 – 30 (higher better)</w:t>
            </w:r>
          </w:p>
        </w:tc>
        <w:tc>
          <w:tcPr>
            <w:tcW w:type="dxa" w:w="2160"/>
          </w:tcPr>
          <w:p>
            <w:r>
              <w:t>Peak viable cell density; primary positive driver of yield</w:t>
            </w:r>
          </w:p>
        </w:tc>
      </w:tr>
      <w:tr>
        <w:tc>
          <w:tcPr>
            <w:tcW w:type="dxa" w:w="2160"/>
          </w:tcPr>
          <w:p>
            <w:r>
              <w:t>[prd_final]pH_BI</w:t>
            </w:r>
          </w:p>
        </w:tc>
        <w:tc>
          <w:tcPr>
            <w:tcW w:type="dxa" w:w="2160"/>
          </w:tcPr>
          <w:p>
            <w:r>
              <w:t>pH</w:t>
            </w:r>
          </w:p>
        </w:tc>
        <w:tc>
          <w:tcPr>
            <w:tcW w:type="dxa" w:w="2160"/>
          </w:tcPr>
          <w:p>
            <w:r>
              <w:t>6.7 – 6.9 (ceiling 6.9)</w:t>
            </w:r>
          </w:p>
        </w:tc>
        <w:tc>
          <w:tcPr>
            <w:tcW w:type="dxa" w:w="2160"/>
          </w:tcPr>
          <w:p>
            <w:r>
              <w:t>Excursion above 6.9 causes yield loss</w:t>
            </w:r>
          </w:p>
        </w:tc>
      </w:tr>
      <w:tr>
        <w:tc>
          <w:tcPr>
            <w:tcW w:type="dxa" w:w="2160"/>
          </w:tcPr>
          <w:p>
            <w:r>
              <w:t>[prd_final]Gln_BI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2 – 6</w:t>
            </w:r>
          </w:p>
        </w:tc>
        <w:tc>
          <w:tcPr>
            <w:tcW w:type="dxa" w:w="2160"/>
          </w:tcPr>
          <w:p>
            <w:r>
              <w:t>Glutamine; no strong independent yield effect</w:t>
            </w:r>
          </w:p>
        </w:tc>
      </w:tr>
      <w:tr>
        <w:tc>
          <w:tcPr>
            <w:tcW w:type="dxa" w:w="2160"/>
          </w:tcPr>
          <w:p>
            <w:r>
              <w:t>[prd_final]pCO2_BI</w:t>
            </w:r>
          </w:p>
        </w:tc>
        <w:tc>
          <w:tcPr>
            <w:tcW w:type="dxa" w:w="2160"/>
          </w:tcPr>
          <w:p>
            <w:r>
              <w:t>mmHg</w:t>
            </w:r>
          </w:p>
        </w:tc>
        <w:tc>
          <w:tcPr>
            <w:tcW w:type="dxa" w:w="2160"/>
          </w:tcPr>
          <w:p>
            <w:r>
              <w:t>40 – 90</w:t>
            </w:r>
          </w:p>
        </w:tc>
        <w:tc>
          <w:tcPr>
            <w:tcW w:type="dxa" w:w="2160"/>
          </w:tcPr>
          <w:p>
            <w:r>
              <w:t>Dissolved CO2; not a yield driver in normal range</w:t>
            </w:r>
          </w:p>
        </w:tc>
      </w:tr>
      <w:tr>
        <w:tc>
          <w:tcPr>
            <w:tcW w:type="dxa" w:w="2160"/>
          </w:tcPr>
          <w:p>
            <w:r>
              <w:t>[prd_final]NH4+_BI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&lt; 8</w:t>
            </w:r>
          </w:p>
        </w:tc>
        <w:tc>
          <w:tcPr>
            <w:tcW w:type="dxa" w:w="2160"/>
          </w:tcPr>
          <w:p>
            <w:r>
              <w:t>Ammonium; monitored, weak yield effect</w:t>
            </w:r>
          </w:p>
        </w:tc>
      </w:tr>
      <w:tr>
        <w:tc>
          <w:tcPr>
            <w:tcW w:type="dxa" w:w="2160"/>
          </w:tcPr>
          <w:p>
            <w:r>
              <w:t>[prd_final]Normalized Titer by 1000_BI</w:t>
            </w:r>
          </w:p>
        </w:tc>
        <w:tc>
          <w:tcPr>
            <w:tcW w:type="dxa" w:w="2160"/>
          </w:tcPr>
          <w:p>
            <w:r>
              <w:t>(norm.)</w:t>
            </w:r>
          </w:p>
        </w:tc>
        <w:tc>
          <w:tcPr>
            <w:tcW w:type="dxa" w:w="2160"/>
          </w:tcPr>
          <w:p>
            <w:r>
              <w:t>trend up</w:t>
            </w:r>
          </w:p>
        </w:tc>
        <w:tc>
          <w:tcPr>
            <w:tcW w:type="dxa" w:w="2160"/>
          </w:tcPr>
          <w:p>
            <w:r>
              <w:t>Expression proxy; collinear with VCD_BI</w:t>
            </w:r>
          </w:p>
        </w:tc>
      </w:tr>
      <w:tr>
        <w:tc>
          <w:tcPr>
            <w:tcW w:type="dxa" w:w="2160"/>
          </w:tcPr>
          <w:p>
            <w:r>
              <w:t>[prd_final]Via_BI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≥ 90</w:t>
            </w:r>
          </w:p>
        </w:tc>
        <w:tc>
          <w:tcPr>
            <w:tcW w:type="dxa" w:w="2160"/>
          </w:tcPr>
          <w:p>
            <w:r>
              <w:t>Peak-culture viability; collinear with seed viability</w:t>
            </w:r>
          </w:p>
        </w:tc>
      </w:tr>
    </w:tbl>
    <w:p>
      <w:pPr>
        <w:pStyle w:val="Heading2"/>
      </w:pPr>
      <w:r>
        <w:t>5. Production Bioreactor — Signals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Target / NOR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[Production]DO_Stab_Avg</w:t>
            </w:r>
          </w:p>
        </w:tc>
        <w:tc>
          <w:tcPr>
            <w:tcW w:type="dxa" w:w="2160"/>
          </w:tcPr>
          <w:p>
            <w:r>
              <w:t>% air sat.</w:t>
            </w:r>
          </w:p>
        </w:tc>
        <w:tc>
          <w:tcPr>
            <w:tcW w:type="dxa" w:w="2160"/>
          </w:tcPr>
          <w:p>
            <w:r>
              <w:t>~40 (35–45)</w:t>
            </w:r>
          </w:p>
        </w:tc>
        <w:tc>
          <w:tcPr>
            <w:tcW w:type="dxa" w:w="2160"/>
          </w:tcPr>
          <w:p>
            <w:r>
              <w:t>Dissolved-oxygen setpoint during stable phase</w:t>
            </w:r>
          </w:p>
        </w:tc>
      </w:tr>
      <w:tr>
        <w:tc>
          <w:tcPr>
            <w:tcW w:type="dxa" w:w="2160"/>
          </w:tcPr>
          <w:p>
            <w:r>
              <w:t>[Production]DO_Stab_Std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DO stability; large std indicates control issues</w:t>
            </w:r>
          </w:p>
        </w:tc>
      </w:tr>
      <w:tr>
        <w:tc>
          <w:tcPr>
            <w:tcW w:type="dxa" w:w="2160"/>
          </w:tcPr>
          <w:p>
            <w:r>
              <w:t>[Production]O2_supply_slope</w:t>
            </w:r>
          </w:p>
        </w:tc>
        <w:tc>
          <w:tcPr>
            <w:tcW w:type="dxa" w:w="2160"/>
          </w:tcPr>
          <w:p>
            <w:r>
              <w:t>(norm./hr)</w:t>
            </w:r>
          </w:p>
        </w:tc>
        <w:tc>
          <w:tcPr>
            <w:tcW w:type="dxa" w:w="2160"/>
          </w:tcPr>
          <w:p>
            <w:r>
              <w:t>positive, steep</w:t>
            </w:r>
          </w:p>
        </w:tc>
        <w:tc>
          <w:tcPr>
            <w:tcW w:type="dxa" w:w="2160"/>
          </w:tcPr>
          <w:p>
            <w:r>
              <w:t>Positive driver: stronger O2 delivery ramp → higher yield</w:t>
            </w:r>
          </w:p>
        </w:tc>
      </w:tr>
      <w:tr>
        <w:tc>
          <w:tcPr>
            <w:tcW w:type="dxa" w:w="2160"/>
          </w:tcPr>
          <w:p>
            <w:r>
              <w:t>[Production]O2_supply_max</w:t>
            </w:r>
          </w:p>
        </w:tc>
        <w:tc>
          <w:tcPr>
            <w:tcW w:type="dxa" w:w="2160"/>
          </w:tcPr>
          <w:p>
            <w:r>
              <w:t>L/min or norm.</w:t>
            </w:r>
          </w:p>
        </w:tc>
        <w:tc>
          <w:tcPr>
            <w:tcW w:type="dxa" w:w="2160"/>
          </w:tcPr>
          <w:p>
            <w:r>
              <w:t>process-dependent</w:t>
            </w:r>
          </w:p>
        </w:tc>
        <w:tc>
          <w:tcPr>
            <w:tcW w:type="dxa" w:w="2160"/>
          </w:tcPr>
          <w:p>
            <w:r>
              <w:t>Peak oxygen sparge</w:t>
            </w:r>
          </w:p>
        </w:tc>
      </w:tr>
      <w:tr>
        <w:tc>
          <w:tcPr>
            <w:tcW w:type="dxa" w:w="2160"/>
          </w:tcPr>
          <w:p>
            <w:r>
              <w:t>[Production]Temp_Drop_Time_hr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early (~48–72)</w:t>
            </w:r>
          </w:p>
        </w:tc>
        <w:tc>
          <w:tcPr>
            <w:tcW w:type="dxa" w:w="2160"/>
          </w:tcPr>
          <w:p>
            <w:r>
              <w:t>Later temp-shift → lower yield; earlier shift preferred</w:t>
            </w:r>
          </w:p>
        </w:tc>
      </w:tr>
      <w:tr>
        <w:tc>
          <w:tcPr>
            <w:tcW w:type="dxa" w:w="2160"/>
          </w:tcPr>
          <w:p>
            <w:r>
              <w:t>[Production]Temp_First</w:t>
            </w:r>
          </w:p>
        </w:tc>
        <w:tc>
          <w:tcPr>
            <w:tcW w:type="dxa" w:w="2160"/>
          </w:tcPr>
          <w:p>
            <w:r>
              <w:t>°C</w:t>
            </w:r>
          </w:p>
        </w:tc>
        <w:tc>
          <w:tcPr>
            <w:tcW w:type="dxa" w:w="2160"/>
          </w:tcPr>
          <w:p>
            <w:r>
              <w:t>36.5 – 37.0</w:t>
            </w:r>
          </w:p>
        </w:tc>
        <w:tc>
          <w:tcPr>
            <w:tcW w:type="dxa" w:w="2160"/>
          </w:tcPr>
          <w:p>
            <w:r>
              <w:t>Initial culture temperature before shift</w:t>
            </w:r>
          </w:p>
        </w:tc>
      </w:tr>
    </w:tbl>
    <w:p>
      <w:pPr>
        <w:pStyle w:val="Heading2"/>
      </w:pPr>
      <w:r>
        <w:t>6. Harvest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Target / NOR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[harvest]Centrifuge_Bowl_Speed_mean</w:t>
            </w:r>
          </w:p>
        </w:tc>
        <w:tc>
          <w:tcPr>
            <w:tcW w:type="dxa" w:w="2160"/>
          </w:tcPr>
          <w:p>
            <w:r>
              <w:t>rpm</w:t>
            </w:r>
          </w:p>
        </w:tc>
        <w:tc>
          <w:tcPr>
            <w:tcW w:type="dxa" w:w="2160"/>
          </w:tcPr>
          <w:p>
            <w:r>
              <w:t>per equipment SOP</w:t>
            </w:r>
          </w:p>
        </w:tc>
        <w:tc>
          <w:tcPr>
            <w:tcW w:type="dxa" w:w="2160"/>
          </w:tcPr>
          <w:p>
            <w:r>
              <w:t>Clarification; not a yield driver</w:t>
            </w:r>
          </w:p>
        </w:tc>
      </w:tr>
      <w:tr>
        <w:tc>
          <w:tcPr>
            <w:tcW w:type="dxa" w:w="2160"/>
          </w:tcPr>
          <w:p>
            <w:r>
              <w:t>[harvest]Centrifuge_FeedFlowRate_mean</w:t>
            </w:r>
          </w:p>
        </w:tc>
        <w:tc>
          <w:tcPr>
            <w:tcW w:type="dxa" w:w="2160"/>
          </w:tcPr>
          <w:p>
            <w:r>
              <w:t>L/h</w:t>
            </w:r>
          </w:p>
        </w:tc>
        <w:tc>
          <w:tcPr>
            <w:tcW w:type="dxa" w:w="2160"/>
          </w:tcPr>
          <w:p>
            <w:r>
              <w:t>per equipment SOP</w:t>
            </w:r>
          </w:p>
        </w:tc>
        <w:tc>
          <w:tcPr>
            <w:tcW w:type="dxa" w:w="2160"/>
          </w:tcPr>
          <w:p>
            <w:r>
              <w:t>Throughput; not a yield driver</w:t>
            </w:r>
          </w:p>
        </w:tc>
      </w:tr>
      <w:tr>
        <w:tc>
          <w:tcPr>
            <w:tcW w:type="dxa" w:w="2160"/>
          </w:tcPr>
          <w:p>
            <w:r>
              <w:t>[harvest]Diff_Press_Final_Filter_mean</w:t>
            </w:r>
          </w:p>
        </w:tc>
        <w:tc>
          <w:tcPr>
            <w:tcW w:type="dxa" w:w="2160"/>
          </w:tcPr>
          <w:p>
            <w:r>
              <w:t>bar</w:t>
            </w:r>
          </w:p>
        </w:tc>
        <w:tc>
          <w:tcPr>
            <w:tcW w:type="dxa" w:w="2160"/>
          </w:tcPr>
          <w:p>
            <w:r>
              <w:t>&lt; 1.5</w:t>
            </w:r>
          </w:p>
        </w:tc>
        <w:tc>
          <w:tcPr>
            <w:tcW w:type="dxa" w:w="2160"/>
          </w:tcPr>
          <w:p>
            <w:r>
              <w:t>Filter fouling indicator; not a yield driver</w:t>
            </w:r>
          </w:p>
        </w:tc>
      </w:tr>
    </w:tbl>
    <w:p>
      <w:pPr>
        <w:pStyle w:val="Heading2"/>
      </w:pPr>
      <w:r>
        <w:t>7. DSP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Target / NOR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CEO Load Protein (g)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per cycle plan</w:t>
            </w:r>
          </w:p>
        </w:tc>
        <w:tc>
          <w:tcPr>
            <w:tcW w:type="dxa" w:w="2160"/>
          </w:tcPr>
          <w:p>
            <w:r>
              <w:t>Mass loaded to CEX</w:t>
            </w:r>
          </w:p>
        </w:tc>
      </w:tr>
      <w:tr>
        <w:tc>
          <w:tcPr>
            <w:tcW w:type="dxa" w:w="2160"/>
          </w:tcPr>
          <w:p>
            <w:r>
              <w:t>CEO Load Cond (mS/cm)</w:t>
            </w:r>
          </w:p>
        </w:tc>
        <w:tc>
          <w:tcPr>
            <w:tcW w:type="dxa" w:w="2160"/>
          </w:tcPr>
          <w:p>
            <w:r>
              <w:t>mS/cm</w:t>
            </w:r>
          </w:p>
        </w:tc>
        <w:tc>
          <w:tcPr>
            <w:tcW w:type="dxa" w:w="2160"/>
          </w:tcPr>
          <w:p>
            <w:r>
              <w:t>5 – 8</w:t>
            </w:r>
          </w:p>
        </w:tc>
        <w:tc>
          <w:tcPr>
            <w:tcW w:type="dxa" w:w="2160"/>
          </w:tcPr>
          <w:p>
            <w:r>
              <w:t>Weakly affects DSP recovery</w:t>
            </w:r>
          </w:p>
        </w:tc>
      </w:tr>
      <w:tr>
        <w:tc>
          <w:tcPr>
            <w:tcW w:type="dxa" w:w="2160"/>
          </w:tcPr>
          <w:p>
            <w:r>
              <w:t>AEO Load Conc. (g/L)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3 – 8</w:t>
            </w:r>
          </w:p>
        </w:tc>
        <w:tc>
          <w:tcPr>
            <w:tcW w:type="dxa" w:w="2160"/>
          </w:tcPr>
          <w:p>
            <w:r>
              <w:t>AEX load concentration</w:t>
            </w:r>
          </w:p>
        </w:tc>
      </w:tr>
      <w:tr>
        <w:tc>
          <w:tcPr>
            <w:tcW w:type="dxa" w:w="2160"/>
          </w:tcPr>
          <w:p>
            <w:r>
              <w:t>AEO Pool Prot (g)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recovery-dependent</w:t>
            </w:r>
          </w:p>
        </w:tc>
        <w:tc>
          <w:tcPr>
            <w:tcW w:type="dxa" w:w="2160"/>
          </w:tcPr>
          <w:p>
            <w:r>
              <w:t>AEX pool mass</w:t>
            </w:r>
          </w:p>
        </w:tc>
      </w:tr>
      <w:tr>
        <w:tc>
          <w:tcPr>
            <w:tcW w:type="dxa" w:w="2160"/>
          </w:tcPr>
          <w:p>
            <w:r>
              <w:t>AEO Hold Time (hr)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&lt; 24</w:t>
            </w:r>
          </w:p>
        </w:tc>
        <w:tc>
          <w:tcPr>
            <w:tcW w:type="dxa" w:w="2160"/>
          </w:tcPr>
          <w:p>
            <w:r>
              <w:t>Long holds weakly reduce DSP recovery</w:t>
            </w:r>
          </w:p>
        </w:tc>
      </w:tr>
    </w:tbl>
    <w:p>
      <w:pPr>
        <w:pStyle w:val="Heading2"/>
      </w:pPr>
      <w:r>
        <w:t>8. Notes on Redundant Parameters</w:t>
      </w:r>
    </w:p>
    <w:p>
      <w:r>
        <w:t>Several parameters are strongly collinear and are typically pruned in analytics: [Production]O2_supply_sum tracks [Production]O2_supply_slope; [prd_final]Via_BI tracks seed 125mL_Final Viability; [prd_final]Normalized Titer by 1000_BI tracks [prd_final]VCD_BI. See PTD-09 for handling of multicollinearity.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