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Process Parameter (CPP) ↔ Critical Quality Attribute (CQA) Matrix</w:t>
      </w:r>
    </w:p>
    <w:p>
      <w:r>
        <w:rPr>
          <w:i/>
          <w:color w:val="6B6B6B"/>
          <w:sz w:val="18"/>
        </w:rPr>
        <w:t>Document ID: PTD-03 | Revision: 4.1 | Effective: 2025-12-10</w:t>
      </w:r>
    </w:p>
    <w:p>
      <w:pPr>
        <w:pStyle w:val="Heading2"/>
      </w:pPr>
      <w:r>
        <w:t>1. Purpose</w:t>
      </w:r>
    </w:p>
    <w:p>
      <w:r>
        <w:t>This matrix maps process parameters to critical quality attributes and assigns a criticality rating (High / Medium / Low) based on process characterization studies, DoE, and historical multivariate analysis. Criticality reflects the strength and consistency of a parameter's effect on the attribute. The primary CQA is USP harvest yield ([harvest][Harvest] Product. Yield). Secondary/reference attributes are DSP_Final_Protein (g) and Normalized Titer by 1000.</w:t>
      </w:r>
    </w:p>
    <w:p>
      <w:pPr>
        <w:pStyle w:val="Heading2"/>
      </w:pPr>
      <w:r>
        <w:t>2. CPP ↔ CQA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→ Product. Yield (USP)</w:t>
            </w:r>
          </w:p>
        </w:tc>
        <w:tc>
          <w:tcPr>
            <w:tcW w:type="dxa" w:w="1728"/>
          </w:tcPr>
          <w:p>
            <w:r>
              <w:t>→ Normalized Titer</w:t>
            </w:r>
          </w:p>
        </w:tc>
        <w:tc>
          <w:tcPr>
            <w:tcW w:type="dxa" w:w="1728"/>
          </w:tcPr>
          <w:p>
            <w:r>
              <w:t>→ DSP_Final_Protein</w:t>
            </w:r>
          </w:p>
        </w:tc>
        <w:tc>
          <w:tcPr>
            <w:tcW w:type="dxa" w:w="1728"/>
          </w:tcPr>
          <w:p>
            <w:r>
              <w:t>Effect direction / shape</w:t>
            </w:r>
          </w:p>
        </w:tc>
      </w:tr>
      <w:tr>
        <w:tc>
          <w:tcPr>
            <w:tcW w:type="dxa" w:w="1728"/>
          </w:tcPr>
          <w:p>
            <w:r>
              <w:t>[prd_final]VCD_BI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 (via load)</w:t>
            </w:r>
          </w:p>
        </w:tc>
        <w:tc>
          <w:tcPr>
            <w:tcW w:type="dxa" w:w="1728"/>
          </w:tcPr>
          <w:p>
            <w:r>
              <w:t>Positive — primary driver</w:t>
            </w:r>
          </w:p>
        </w:tc>
      </w:tr>
      <w:tr>
        <w:tc>
          <w:tcPr>
            <w:tcW w:type="dxa" w:w="1728"/>
          </w:tcPr>
          <w:p>
            <w:r>
              <w:t>[Production]O2_supply_slope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Positive — steeper ramp better</w:t>
            </w:r>
          </w:p>
        </w:tc>
      </w:tr>
      <w:tr>
        <w:tc>
          <w:tcPr>
            <w:tcW w:type="dxa" w:w="1728"/>
          </w:tcPr>
          <w:p>
            <w:r>
              <w:t>[flask_filtered][flask]125mL_Final Viability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Positive — healthier seed better</w:t>
            </w:r>
          </w:p>
        </w:tc>
      </w:tr>
      <w:tr>
        <w:tc>
          <w:tcPr>
            <w:tcW w:type="dxa" w:w="1728"/>
          </w:tcPr>
          <w:p>
            <w:r>
              <w:t>[prd_final]pH_BI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Negative above 6.9 (ceiling effect)</w:t>
            </w:r>
          </w:p>
        </w:tc>
      </w:tr>
      <w:tr>
        <w:tc>
          <w:tcPr>
            <w:tcW w:type="dxa" w:w="1728"/>
          </w:tcPr>
          <w:p>
            <w:r>
              <w:t>[media_prep][media][Media B] Osmo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U-shape — deviation from ~310 reduces yield</w:t>
            </w:r>
          </w:p>
        </w:tc>
      </w:tr>
      <w:tr>
        <w:tc>
          <w:tcPr>
            <w:tcW w:type="dxa" w:w="1728"/>
          </w:tcPr>
          <w:p>
            <w:r>
              <w:t>[Production]Temp_Drop_Time_hr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Negative — later shift lowers yield</w:t>
            </w:r>
          </w:p>
        </w:tc>
      </w:tr>
      <w:tr>
        <w:tc>
          <w:tcPr>
            <w:tcW w:type="dxa" w:w="1728"/>
          </w:tcPr>
          <w:p>
            <w:r>
              <w:t>[media_prep][media][Media B] Glucose_Conc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Over-feeding drives pH drift (interaction w/ pH)</w:t>
            </w:r>
          </w:p>
        </w:tc>
      </w:tr>
      <w:tr>
        <w:tc>
          <w:tcPr>
            <w:tcW w:type="dxa" w:w="1728"/>
          </w:tcPr>
          <w:p>
            <w:r>
              <w:t>[prd_final]Via_BI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Positive but collinear w/ seed viability</w:t>
            </w:r>
          </w:p>
        </w:tc>
      </w:tr>
      <w:tr>
        <w:tc>
          <w:tcPr>
            <w:tcW w:type="dxa" w:w="1728"/>
          </w:tcPr>
          <w:p>
            <w:r>
              <w:t>[prd_final]Normalized Titer by 1000_BI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Collinear w/ VCD_BI</w:t>
            </w:r>
          </w:p>
        </w:tc>
      </w:tr>
      <w:tr>
        <w:tc>
          <w:tcPr>
            <w:tcW w:type="dxa" w:w="1728"/>
          </w:tcPr>
          <w:p>
            <w:r>
              <w:t>[Production]DO_Stab_Avg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Control health; extreme deviation harmful</w:t>
            </w:r>
          </w:p>
        </w:tc>
      </w:tr>
      <w:tr>
        <w:tc>
          <w:tcPr>
            <w:tcW w:type="dxa" w:w="1728"/>
          </w:tcPr>
          <w:p>
            <w:r>
              <w:t>CEO Load Cond (mS/cm)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Weak DSP-recovery effect</w:t>
            </w:r>
          </w:p>
        </w:tc>
      </w:tr>
      <w:tr>
        <w:tc>
          <w:tcPr>
            <w:tcW w:type="dxa" w:w="1728"/>
          </w:tcPr>
          <w:p>
            <w:r>
              <w:t>AEO Hold Time (hr)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Long holds weakly reduce recovery</w:t>
            </w:r>
          </w:p>
        </w:tc>
      </w:tr>
      <w:tr>
        <w:tc>
          <w:tcPr>
            <w:tcW w:type="dxa" w:w="1728"/>
          </w:tcPr>
          <w:p>
            <w:r>
              <w:t>[prd_final]pCO2_BI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in normal range</w:t>
            </w:r>
          </w:p>
        </w:tc>
      </w:tr>
      <w:tr>
        <w:tc>
          <w:tcPr>
            <w:tcW w:type="dxa" w:w="1728"/>
          </w:tcPr>
          <w:p>
            <w:r>
              <w:t>[prd_final]NH4+_BI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in normal range</w:t>
            </w:r>
          </w:p>
        </w:tc>
      </w:tr>
      <w:tr>
        <w:tc>
          <w:tcPr>
            <w:tcW w:type="dxa" w:w="1728"/>
          </w:tcPr>
          <w:p>
            <w:r>
              <w:t>[prd_final]Gln_BI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in normal range</w:t>
            </w:r>
          </w:p>
        </w:tc>
      </w:tr>
      <w:tr>
        <w:tc>
          <w:tcPr>
            <w:tcW w:type="dxa" w:w="1728"/>
          </w:tcPr>
          <w:p>
            <w:r>
              <w:t>[prd_final]Reactor Fill Level_BI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</w:t>
            </w:r>
          </w:p>
        </w:tc>
      </w:tr>
      <w:tr>
        <w:tc>
          <w:tcPr>
            <w:tcW w:type="dxa" w:w="1728"/>
          </w:tcPr>
          <w:p>
            <w:r>
              <w:t>[prd_final]Age_BI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</w:t>
            </w:r>
          </w:p>
        </w:tc>
      </w:tr>
      <w:tr>
        <w:tc>
          <w:tcPr>
            <w:tcW w:type="dxa" w:w="1728"/>
          </w:tcPr>
          <w:p>
            <w:r>
              <w:t>[Production]air flow_mean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</w:t>
            </w:r>
          </w:p>
        </w:tc>
      </w:tr>
      <w:tr>
        <w:tc>
          <w:tcPr>
            <w:tcW w:type="dxa" w:w="1728"/>
          </w:tcPr>
          <w:p>
            <w:r>
              <w:t>[harvest]Centrifuge_Bowl_Speed_mean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(clarification only)</w:t>
            </w:r>
          </w:p>
        </w:tc>
      </w:tr>
      <w:tr>
        <w:tc>
          <w:tcPr>
            <w:tcW w:type="dxa" w:w="1728"/>
          </w:tcPr>
          <w:p>
            <w:r>
              <w:t>[harvest]Diff_Press_Final_Filter_mean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(fouling indicator)</w:t>
            </w:r>
          </w:p>
        </w:tc>
      </w:tr>
    </w:tbl>
    <w:p>
      <w:pPr>
        <w:pStyle w:val="Heading2"/>
      </w:pPr>
      <w:r>
        <w:t>3. Interaction Effects</w:t>
      </w:r>
    </w:p>
    <w:p>
      <w:pPr>
        <w:pStyle w:val="ListBullet"/>
      </w:pPr>
      <w:r>
        <w:t>pH × Glucose over-feeding: When [prd_final]pH_BI &gt; 6.9 and [media_prep][media][Media B] Glucose_Conc is high, yield loss exceeds the sum of the individual effects. Over-feeding accelerates the pH drift above the 6.9 ceiling. This combination is flagged High criticality when co-occurring.</w:t>
      </w:r>
    </w:p>
    <w:p>
      <w:pPr>
        <w:pStyle w:val="Heading2"/>
      </w:pPr>
      <w:r>
        <w:t>4. Interpretation Notes</w:t>
      </w:r>
    </w:p>
    <w:p>
      <w:r>
        <w:t>Parameters rated High to Product. Yield are the levers a golden batch must control (see PTD-04). Parameters rated Low are statistical noise with respect to yield and should not be cited as root causes even if they appear in a model; they may be retained for monitoring. DSP knobs (CEO Load Cond, AEO Hold Time) affect recovery/purity (DSP_Final_Protein) but do not create product mass — consistent with the USP-vs-DSP principle in PTD-01.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