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Batch Definition and Acceptance Criteria</w:t>
      </w:r>
    </w:p>
    <w:p>
      <w:r>
        <w:rPr>
          <w:i/>
          <w:color w:val="6B6B6B"/>
          <w:sz w:val="18"/>
        </w:rPr>
        <w:t>Document ID: PTD-04 | Revision: 3.7 | Effective: 2026-01-08</w:t>
      </w:r>
    </w:p>
    <w:p>
      <w:pPr>
        <w:pStyle w:val="Heading2"/>
      </w:pPr>
      <w:r>
        <w:t>1. Purpose</w:t>
      </w:r>
    </w:p>
    <w:p>
      <w:r>
        <w:t>A "golden batch" is a reference batch that achieves top-tier yield while remaining inside all defined parameter windows and passing all quality checks. This document defines the acceptance thresholds and the parameter windows a batch must satisfy to qualify. It is used as the target profile in the Golden Batch Multi-Agent application.</w:t>
      </w:r>
    </w:p>
    <w:p>
      <w:pPr>
        <w:pStyle w:val="Heading2"/>
      </w:pPr>
      <w:r>
        <w:t>2. Outcome Acceptance Thresholds</w:t>
      </w:r>
    </w:p>
    <w:p>
      <w:r>
        <w:t>USP harvest yield ([harvest][Harvest] Product. Yield) across the historical dataset has mean ~76.5 g (std ~10, range ~47–99 g). Tiering: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Product. Yield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Golden</w:t>
            </w:r>
          </w:p>
        </w:tc>
        <w:tc>
          <w:tcPr>
            <w:tcW w:type="dxa" w:w="2880"/>
          </w:tcPr>
          <w:p>
            <w:r>
              <w:t>≥ 85 g</w:t>
            </w:r>
          </w:p>
        </w:tc>
        <w:tc>
          <w:tcPr>
            <w:tcW w:type="dxa" w:w="2880"/>
          </w:tcPr>
          <w:p>
            <w:r>
              <w:t>Top-tier; reference batch</w:t>
            </w:r>
          </w:p>
        </w:tc>
      </w:tr>
      <w:tr>
        <w:tc>
          <w:tcPr>
            <w:tcW w:type="dxa" w:w="2880"/>
          </w:tcPr>
          <w:p>
            <w:r>
              <w:t>Acceptable</w:t>
            </w:r>
          </w:p>
        </w:tc>
        <w:tc>
          <w:tcPr>
            <w:tcW w:type="dxa" w:w="2880"/>
          </w:tcPr>
          <w:p>
            <w:r>
              <w:t>70 – 85 g</w:t>
            </w:r>
          </w:p>
        </w:tc>
        <w:tc>
          <w:tcPr>
            <w:tcW w:type="dxa" w:w="2880"/>
          </w:tcPr>
          <w:p>
            <w:r>
              <w:t>Meets plan</w:t>
            </w:r>
          </w:p>
        </w:tc>
      </w:tr>
      <w:tr>
        <w:tc>
          <w:tcPr>
            <w:tcW w:type="dxa" w:w="2880"/>
          </w:tcPr>
          <w:p>
            <w:r>
              <w:t>Investigate</w:t>
            </w:r>
          </w:p>
        </w:tc>
        <w:tc>
          <w:tcPr>
            <w:tcW w:type="dxa" w:w="2880"/>
          </w:tcPr>
          <w:p>
            <w:r>
              <w:t>&lt; 70 g</w:t>
            </w:r>
          </w:p>
        </w:tc>
        <w:tc>
          <w:tcPr>
            <w:tcW w:type="dxa" w:w="2880"/>
          </w:tcPr>
          <w:p>
            <w:r>
              <w:t>Root-cause required</w:t>
            </w:r>
          </w:p>
        </w:tc>
      </w:tr>
    </w:tbl>
    <w:p>
      <w:r>
        <w:t>Supporting outcome checks:</w:t>
      </w:r>
    </w:p>
    <w:p>
      <w:pPr>
        <w:pStyle w:val="ListBullet"/>
      </w:pPr>
      <w:r>
        <w:t>Normalized Titer by 1000 — at or above campaign median (trending up alongside VCD).</w:t>
      </w:r>
    </w:p>
    <w:p>
      <w:pPr>
        <w:pStyle w:val="ListBullet"/>
      </w:pPr>
      <w:r>
        <w:t>DSP_Final_Protein (g) — DSP recovery within 0.75–0.95 of clarified harvest (DSP health, not USP yield).</w:t>
      </w:r>
    </w:p>
    <w:p>
      <w:pPr>
        <w:pStyle w:val="Heading2"/>
      </w:pPr>
      <w:r>
        <w:t>3. Golden Parameter Windows</w:t>
      </w:r>
    </w:p>
    <w:p>
      <w:r>
        <w:t>A golden batch stays within all of the following windows. These are consistent with PTD-02 and PTD-08.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Golden window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[prd_final]VCD_BI</w:t>
            </w:r>
          </w:p>
        </w:tc>
        <w:tc>
          <w:tcPr>
            <w:tcW w:type="dxa" w:w="2880"/>
          </w:tcPr>
          <w:p>
            <w:r>
              <w:t>High end, ≥ 24 ×10^6 cells/mL</w:t>
            </w:r>
          </w:p>
        </w:tc>
        <w:tc>
          <w:tcPr>
            <w:tcW w:type="dxa" w:w="2880"/>
          </w:tcPr>
          <w:p>
            <w:r>
              <w:t>Primary positive yield driver</w:t>
            </w:r>
          </w:p>
        </w:tc>
      </w:tr>
      <w:tr>
        <w:tc>
          <w:tcPr>
            <w:tcW w:type="dxa" w:w="2880"/>
          </w:tcPr>
          <w:p>
            <w:r>
              <w:t>[flask_filtered][flask]125mL_Final Viability</w:t>
            </w:r>
          </w:p>
        </w:tc>
        <w:tc>
          <w:tcPr>
            <w:tcW w:type="dxa" w:w="2880"/>
          </w:tcPr>
          <w:p>
            <w:r>
              <w:t>≥ 95 %</w:t>
            </w:r>
          </w:p>
        </w:tc>
        <w:tc>
          <w:tcPr>
            <w:tcW w:type="dxa" w:w="2880"/>
          </w:tcPr>
          <w:p>
            <w:r>
              <w:t>Healthy seed sets the trajectory</w:t>
            </w:r>
          </w:p>
        </w:tc>
      </w:tr>
      <w:tr>
        <w:tc>
          <w:tcPr>
            <w:tcW w:type="dxa" w:w="2880"/>
          </w:tcPr>
          <w:p>
            <w:r>
              <w:t>[flask_filtered][flask]125mL_Final VCD</w:t>
            </w:r>
          </w:p>
        </w:tc>
        <w:tc>
          <w:tcPr>
            <w:tcW w:type="dxa" w:w="2880"/>
          </w:tcPr>
          <w:p>
            <w:r>
              <w:t>3.5 – 5.0 ×10^6 cells/mL</w:t>
            </w:r>
          </w:p>
        </w:tc>
        <w:tc>
          <w:tcPr>
            <w:tcW w:type="dxa" w:w="2880"/>
          </w:tcPr>
          <w:p>
            <w:r>
              <w:t>Strong inoculum</w:t>
            </w:r>
          </w:p>
        </w:tc>
      </w:tr>
      <w:tr>
        <w:tc>
          <w:tcPr>
            <w:tcW w:type="dxa" w:w="2880"/>
          </w:tcPr>
          <w:p>
            <w:r>
              <w:t>[prd_final]pH_BI</w:t>
            </w:r>
          </w:p>
        </w:tc>
        <w:tc>
          <w:tcPr>
            <w:tcW w:type="dxa" w:w="2880"/>
          </w:tcPr>
          <w:p>
            <w:r>
              <w:t>6.7 – 6.9 (never &gt; 6.9)</w:t>
            </w:r>
          </w:p>
        </w:tc>
        <w:tc>
          <w:tcPr>
            <w:tcW w:type="dxa" w:w="2880"/>
          </w:tcPr>
          <w:p>
            <w:r>
              <w:t>Above-6.9 excursion loses yield</w:t>
            </w:r>
          </w:p>
        </w:tc>
      </w:tr>
      <w:tr>
        <w:tc>
          <w:tcPr>
            <w:tcW w:type="dxa" w:w="2880"/>
          </w:tcPr>
          <w:p>
            <w:r>
              <w:t>[media_prep][media][Media B] Osmo</w:t>
            </w:r>
          </w:p>
        </w:tc>
        <w:tc>
          <w:tcPr>
            <w:tcW w:type="dxa" w:w="2880"/>
          </w:tcPr>
          <w:p>
            <w:r>
              <w:t>310 ± 10 mOsm/kg</w:t>
            </w:r>
          </w:p>
        </w:tc>
        <w:tc>
          <w:tcPr>
            <w:tcW w:type="dxa" w:w="2880"/>
          </w:tcPr>
          <w:p>
            <w:r>
              <w:t>U-shaped optimum near 310</w:t>
            </w:r>
          </w:p>
        </w:tc>
      </w:tr>
      <w:tr>
        <w:tc>
          <w:tcPr>
            <w:tcW w:type="dxa" w:w="2880"/>
          </w:tcPr>
          <w:p>
            <w:r>
              <w:t>[media_prep][media][Media B] Glucose_Conc</w:t>
            </w:r>
          </w:p>
        </w:tc>
        <w:tc>
          <w:tcPr>
            <w:tcW w:type="dxa" w:w="2880"/>
          </w:tcPr>
          <w:p>
            <w:r>
              <w:t>4.0 – 5.5 g/L</w:t>
            </w:r>
          </w:p>
        </w:tc>
        <w:tc>
          <w:tcPr>
            <w:tcW w:type="dxa" w:w="2880"/>
          </w:tcPr>
          <w:p>
            <w:r>
              <w:t>Avoid over-feeding / pH drift</w:t>
            </w:r>
          </w:p>
        </w:tc>
      </w:tr>
      <w:tr>
        <w:tc>
          <w:tcPr>
            <w:tcW w:type="dxa" w:w="2880"/>
          </w:tcPr>
          <w:p>
            <w:r>
              <w:t>[Production]O2_supply_slope</w:t>
            </w:r>
          </w:p>
        </w:tc>
        <w:tc>
          <w:tcPr>
            <w:tcW w:type="dxa" w:w="2880"/>
          </w:tcPr>
          <w:p>
            <w:r>
              <w:t>Steep / positive (top quartile)</w:t>
            </w:r>
          </w:p>
        </w:tc>
        <w:tc>
          <w:tcPr>
            <w:tcW w:type="dxa" w:w="2880"/>
          </w:tcPr>
          <w:p>
            <w:r>
              <w:t>Stronger O2 delivery ramp → higher yield</w:t>
            </w:r>
          </w:p>
        </w:tc>
      </w:tr>
      <w:tr>
        <w:tc>
          <w:tcPr>
            <w:tcW w:type="dxa" w:w="2880"/>
          </w:tcPr>
          <w:p>
            <w:r>
              <w:t>[Production]Temp_Drop_Time_hr</w:t>
            </w:r>
          </w:p>
        </w:tc>
        <w:tc>
          <w:tcPr>
            <w:tcW w:type="dxa" w:w="2880"/>
          </w:tcPr>
          <w:p>
            <w:r>
              <w:t>Early (≤ 60 hr)</w:t>
            </w:r>
          </w:p>
        </w:tc>
        <w:tc>
          <w:tcPr>
            <w:tcW w:type="dxa" w:w="2880"/>
          </w:tcPr>
          <w:p>
            <w:r>
              <w:t>Earlier temp-shift → higher yield</w:t>
            </w:r>
          </w:p>
        </w:tc>
      </w:tr>
      <w:tr>
        <w:tc>
          <w:tcPr>
            <w:tcW w:type="dxa" w:w="2880"/>
          </w:tcPr>
          <w:p>
            <w:r>
              <w:t>[Production]DO_Stab_Avg</w:t>
            </w:r>
          </w:p>
        </w:tc>
        <w:tc>
          <w:tcPr>
            <w:tcW w:type="dxa" w:w="2880"/>
          </w:tcPr>
          <w:p>
            <w:r>
              <w:t>~40 % (35–45)</w:t>
            </w:r>
          </w:p>
        </w:tc>
        <w:tc>
          <w:tcPr>
            <w:tcW w:type="dxa" w:w="2880"/>
          </w:tcPr>
          <w:p>
            <w:r>
              <w:t>Stable oxygenation</w:t>
            </w:r>
          </w:p>
        </w:tc>
      </w:tr>
      <w:tr>
        <w:tc>
          <w:tcPr>
            <w:tcW w:type="dxa" w:w="2880"/>
          </w:tcPr>
          <w:p>
            <w:r>
              <w:t>[Production]DO_Stab_Std</w:t>
            </w:r>
          </w:p>
        </w:tc>
        <w:tc>
          <w:tcPr>
            <w:tcW w:type="dxa" w:w="2880"/>
          </w:tcPr>
          <w:p>
            <w:r>
              <w:t>&lt; 5 %</w:t>
            </w:r>
          </w:p>
        </w:tc>
        <w:tc>
          <w:tcPr>
            <w:tcW w:type="dxa" w:w="2880"/>
          </w:tcPr>
          <w:p>
            <w:r>
              <w:t>Tight DO control</w:t>
            </w:r>
          </w:p>
        </w:tc>
      </w:tr>
    </w:tbl>
    <w:p>
      <w:pPr>
        <w:pStyle w:val="Heading2"/>
      </w:pPr>
      <w:r>
        <w:t>4. Rationale Summary</w:t>
      </w:r>
    </w:p>
    <w:p>
      <w:r>
        <w:t>The golden profile is: a healthy high-viability seed → high peak VCD → strong, early oxygen-delivery ramp → production pH held at or below the 6.9 ceiling → media osmolality near 310 → an early temperature shift. Batches that hit this profile consistently land in the ≥ 85 g tier. The two most common ways a batch falls out of golden status are (1) a production pH excursion above 6.9 (often driven by glucose over-feeding) and (2) a late temperature shift; off-target Media B osmolality is the third. See PTD-05 for worked historical examples and PTD-06 for corrective actions.</w:t>
      </w:r>
    </w:p>
    <w:p>
      <w:pPr>
        <w:pStyle w:val="Heading2"/>
      </w:pPr>
      <w:r>
        <w:t>5. Use in the Multi-Agent App</w:t>
      </w:r>
    </w:p>
    <w:p>
      <w:r>
        <w:t>When the MSAT Agent evaluates a batch, it should compare the batch's parameters against these windows and cite the specific out-of-window driver(s) — ranked by criticality from PTD-03 — rather than noise parameters, when explaining a yield shortfall or confirming golden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