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Troubleshooting Guide — Yield Deviations</w:t>
      </w:r>
    </w:p>
    <w:p>
      <w:r>
        <w:rPr>
          <w:i/>
          <w:color w:val="6B6B6B"/>
          <w:sz w:val="18"/>
        </w:rPr>
        <w:t>Document ID: PTD-06 | Revision: 4.3 | Effective: 2026-02-20</w:t>
      </w:r>
    </w:p>
    <w:p>
      <w:pPr>
        <w:pStyle w:val="Heading2"/>
      </w:pPr>
      <w:r>
        <w:t>1. Purpose</w:t>
      </w:r>
    </w:p>
    <w:p>
      <w:r>
        <w:t>This guide provides a symptom → probable cause → corrective action reference for USP harvest yield deviations. It is scoped to the High-criticality drivers established in PTD-03. Noise parameters (centrifuge speed, filter differential pressure, pCO2, NH4+, Gln, reactor fill level, air-flow means) are explicitly excluded as root causes for yield deviations.</w:t>
      </w:r>
    </w:p>
    <w:p>
      <w:pPr>
        <w:pStyle w:val="Heading2"/>
      </w:pPr>
      <w:r>
        <w:t>2. Symptom → Cause → Action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 (observed)</w:t>
            </w:r>
          </w:p>
        </w:tc>
        <w:tc>
          <w:tcPr>
            <w:tcW w:type="dxa" w:w="2880"/>
          </w:tcPr>
          <w:p>
            <w:r>
              <w:t>Probable cause</w:t>
            </w:r>
          </w:p>
        </w:tc>
        <w:tc>
          <w:tcPr>
            <w:tcW w:type="dxa" w:w="2880"/>
          </w:tcPr>
          <w:p>
            <w:r>
              <w:t>Corrective / preventive action</w:t>
            </w:r>
          </w:p>
        </w:tc>
      </w:tr>
      <w:tr>
        <w:tc>
          <w:tcPr>
            <w:tcW w:type="dxa" w:w="2880"/>
          </w:tcPr>
          <w:p>
            <w:r>
              <w:t>Low yield + [prd_final]pH_BI &gt; 6.9</w:t>
            </w:r>
          </w:p>
        </w:tc>
        <w:tc>
          <w:tcPr>
            <w:tcW w:type="dxa" w:w="2880"/>
          </w:tcPr>
          <w:p>
            <w:r>
              <w:t>Production pH excursion above the 6.9 ceiling</w:t>
            </w:r>
          </w:p>
        </w:tc>
        <w:tc>
          <w:tcPr>
            <w:tcW w:type="dxa" w:w="2880"/>
          </w:tcPr>
          <w:p>
            <w:r>
              <w:t>Verify pH probe calibration; tighten CO2/base control near ceiling; check whether glucose over-feeding drove the drift (see interaction row)</w:t>
            </w:r>
          </w:p>
        </w:tc>
      </w:tr>
      <w:tr>
        <w:tc>
          <w:tcPr>
            <w:tcW w:type="dxa" w:w="2880"/>
          </w:tcPr>
          <w:p>
            <w:r>
              <w:t>Low yield + [prd_final]pH_BI &gt; 6.9 + high [media_prep][media][Media B] Glucose_Conc</w:t>
            </w:r>
          </w:p>
        </w:tc>
        <w:tc>
          <w:tcPr>
            <w:tcW w:type="dxa" w:w="2880"/>
          </w:tcPr>
          <w:p>
            <w:r>
              <w:t>Over-feeding → pH drift interaction — excess glucose accelerated metabolic drift above the pH ceiling</w:t>
            </w:r>
          </w:p>
        </w:tc>
        <w:tc>
          <w:tcPr>
            <w:tcW w:type="dxa" w:w="2880"/>
          </w:tcPr>
          <w:p>
            <w:r>
              <w:t>Reduce feed volume/frequency; move to demand-based feeding; hold glucose 4.0–5.5 g/L; the two effects compound, so correct both</w:t>
            </w:r>
          </w:p>
        </w:tc>
      </w:tr>
      <w:tr>
        <w:tc>
          <w:tcPr>
            <w:tcW w:type="dxa" w:w="2880"/>
          </w:tcPr>
          <w:p>
            <w:r>
              <w:t>Low yield + [media_prep][media][Media B] Osmo off ~310 (either direction)</w:t>
            </w:r>
          </w:p>
        </w:tc>
        <w:tc>
          <w:tcPr>
            <w:tcW w:type="dxa" w:w="2880"/>
          </w:tcPr>
          <w:p>
            <w:r>
              <w:t>U-shaped osmolality effect — deviation from ~310 reduces yield</w:t>
            </w:r>
          </w:p>
        </w:tc>
        <w:tc>
          <w:tcPr>
            <w:tcW w:type="dxa" w:w="2880"/>
          </w:tcPr>
          <w:p>
            <w:r>
              <w:t>Re-verify media compounding and QC; recompound if outside 310 ± 15; investigate both high and low deviations</w:t>
            </w:r>
          </w:p>
        </w:tc>
      </w:tr>
      <w:tr>
        <w:tc>
          <w:tcPr>
            <w:tcW w:type="dxa" w:w="2880"/>
          </w:tcPr>
          <w:p>
            <w:r>
              <w:t>Low yield + late [Production]Temp_Drop_Time_hr</w:t>
            </w:r>
          </w:p>
        </w:tc>
        <w:tc>
          <w:tcPr>
            <w:tcW w:type="dxa" w:w="2880"/>
          </w:tcPr>
          <w:p>
            <w:r>
              <w:t>Temperature shift applied too late</w:t>
            </w:r>
          </w:p>
        </w:tc>
        <w:tc>
          <w:tcPr>
            <w:tcW w:type="dxa" w:w="2880"/>
          </w:tcPr>
          <w:p>
            <w:r>
              <w:t>Advance the temp-shift trigger (target ≤ 60 hr); review the shift-timing control logic and trigger criteria</w:t>
            </w:r>
          </w:p>
        </w:tc>
      </w:tr>
      <w:tr>
        <w:tc>
          <w:tcPr>
            <w:tcW w:type="dxa" w:w="2880"/>
          </w:tcPr>
          <w:p>
            <w:r>
              <w:t>Low yield + low [prd_final]VCD_BI</w:t>
            </w:r>
          </w:p>
        </w:tc>
        <w:tc>
          <w:tcPr>
            <w:tcW w:type="dxa" w:w="2880"/>
          </w:tcPr>
          <w:p>
            <w:r>
              <w:t>Poor culture growth / low peak viable cell density</w:t>
            </w:r>
          </w:p>
        </w:tc>
        <w:tc>
          <w:tcPr>
            <w:tcW w:type="dxa" w:w="2880"/>
          </w:tcPr>
          <w:p>
            <w:r>
              <w:t>Trace back to seed health (viability, seed VCD), media QC, and early-phase DO/pH; VCD is the primary yield lever</w:t>
            </w:r>
          </w:p>
        </w:tc>
      </w:tr>
      <w:tr>
        <w:tc>
          <w:tcPr>
            <w:tcW w:type="dxa" w:w="2880"/>
          </w:tcPr>
          <w:p>
            <w:r>
              <w:t>Low yield + low seed 125mL_Final Viability</w:t>
            </w:r>
          </w:p>
        </w:tc>
        <w:tc>
          <w:tcPr>
            <w:tcW w:type="dxa" w:w="2880"/>
          </w:tcPr>
          <w:p>
            <w:r>
              <w:t>Unhealthy inoculum set an adverse trajectory</w:t>
            </w:r>
          </w:p>
        </w:tc>
        <w:tc>
          <w:tcPr>
            <w:tcW w:type="dxa" w:w="2880"/>
          </w:tcPr>
          <w:p>
            <w:r>
              <w:t>Investigate thaw/expansion, passage number, media lot; do not proceed to production with viability &lt; 95 %</w:t>
            </w:r>
          </w:p>
        </w:tc>
      </w:tr>
      <w:tr>
        <w:tc>
          <w:tcPr>
            <w:tcW w:type="dxa" w:w="2880"/>
          </w:tcPr>
          <w:p>
            <w:r>
              <w:t>Low yield + shallow [Production]O2_supply_slope</w:t>
            </w:r>
          </w:p>
        </w:tc>
        <w:tc>
          <w:tcPr>
            <w:tcW w:type="dxa" w:w="2880"/>
          </w:tcPr>
          <w:p>
            <w:r>
              <w:t>Weak oxygen-delivery ramp during growth</w:t>
            </w:r>
          </w:p>
        </w:tc>
        <w:tc>
          <w:tcPr>
            <w:tcW w:type="dxa" w:w="2880"/>
          </w:tcPr>
          <w:p>
            <w:r>
              <w:t>Check sparge/oxygen supply capacity and DO control; a steeper ramp supports higher VCD and yield</w:t>
            </w:r>
          </w:p>
        </w:tc>
      </w:tr>
      <w:tr>
        <w:tc>
          <w:tcPr>
            <w:tcW w:type="dxa" w:w="2880"/>
          </w:tcPr>
          <w:p>
            <w:r>
              <w:t>Low DSP recovery, USP yield normal</w:t>
            </w:r>
          </w:p>
        </w:tc>
        <w:tc>
          <w:tcPr>
            <w:tcW w:type="dxa" w:w="2880"/>
          </w:tcPr>
          <w:p>
            <w:r>
              <w:t>DSP step recovery issue (not a USP problem)</w:t>
            </w:r>
          </w:p>
        </w:tc>
        <w:tc>
          <w:tcPr>
            <w:tcW w:type="dxa" w:w="2880"/>
          </w:tcPr>
          <w:p>
            <w:r>
              <w:t>Check CEO Load Cond (mS/cm) and AEO Hold Time (hr); this affects DSP_Final_Protein, not Product. Yield</w:t>
            </w:r>
          </w:p>
        </w:tc>
      </w:tr>
    </w:tbl>
    <w:p>
      <w:pPr>
        <w:pStyle w:val="Heading2"/>
      </w:pPr>
      <w:r>
        <w:t>3. Diagnostic Order</w:t>
      </w:r>
    </w:p>
    <w:p>
      <w:r>
        <w:t>1. Confirm the deviation is USP (low Product. Yield) versus DSP (low DSP_Final_Protein with normal harvest yield). USP and DSP have different root-cause sets (PTD-01).</w:t>
      </w:r>
    </w:p>
    <w:p>
      <w:r>
        <w:t>2. For USP deviations, rank suspected drivers by PTD-03 criticality. Check the High drivers first: VCD_BI, pH_BI (ceiling 6.9), Media B Osmo (~310), Temp_Drop_Time_hr, O2_supply_slope, seed viability.</w:t>
      </w:r>
    </w:p>
    <w:p>
      <w:r>
        <w:t>3. Check for the pH × over-feeding interaction whenever a pH excursion is present.</w:t>
      </w:r>
    </w:p>
    <w:p>
      <w:r>
        <w:t>4. Do not attribute yield loss to noise parameters even if they moved; correlation without criticality is not causation (see PTD-09).</w:t>
      </w:r>
    </w:p>
    <w:p>
      <w:pPr>
        <w:pStyle w:val="Heading2"/>
      </w:pPr>
      <w:r>
        <w:t>4. Escalation</w:t>
      </w:r>
    </w:p>
    <w:p>
      <w:r>
        <w:t>Recurrent pH excursions or osmolality misses across multiple batches indicate a systematic control or media-prep issue and should be escalated to MSAT for a control-strategy review (PTD-08).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