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Process Control Strategy — Setpoints, Deadbands, and Alarm Limits</w:t>
      </w:r>
    </w:p>
    <w:p>
      <w:r>
        <w:rPr>
          <w:i/>
          <w:color w:val="6B6B6B"/>
          <w:sz w:val="18"/>
        </w:rPr>
        <w:t>Document ID: PTD-08 | Revision: 5.0 | Effective: 2026-03-25</w:t>
      </w:r>
    </w:p>
    <w:p>
      <w:pPr>
        <w:pStyle w:val="Heading2"/>
      </w:pPr>
      <w:r>
        <w:t>1. Purpose</w:t>
      </w:r>
    </w:p>
    <w:p>
      <w:r>
        <w:t>This document defines the control strategy for the production bioreactor and adjacent operations: setpoints, control deadbands, alarm limits, and control logic. Values are consistent with the parameter guide (PTD-02) and golden-batch windows (PTD-04).</w:t>
      </w:r>
    </w:p>
    <w:p>
      <w:pPr>
        <w:pStyle w:val="Heading2"/>
      </w:pPr>
      <w:r>
        <w:t>2. pH Control</w:t>
      </w:r>
    </w:p>
    <w:p>
      <w:pPr>
        <w:pStyle w:val="ListBullet"/>
      </w:pPr>
      <w:r>
        <w:t>Setpoint / deadband: pH 6.80 ± 0.10 (operating band 6.70–6.90).</w:t>
      </w:r>
    </w:p>
    <w:p>
      <w:pPr>
        <w:pStyle w:val="ListBullet"/>
      </w:pPr>
      <w:r>
        <w:t>Ceiling (hard): 6.90. pH must not exceed 6.90; [prd_final]pH_BI above this is a defined excursion associated with yield loss.</w:t>
      </w:r>
    </w:p>
    <w:p>
      <w:pPr>
        <w:pStyle w:val="ListBullet"/>
      </w:pPr>
      <w:r>
        <w:t>Control logic: CO2 sparge for acidification and base (carbonate) addition for correction, with dead-band control to avoid oscillation. High-pH alarm at 6.90; high-high at 6.95.</w:t>
      </w:r>
    </w:p>
    <w:p>
      <w:pPr>
        <w:pStyle w:val="ListBullet"/>
      </w:pPr>
      <w:r>
        <w:t>Rationale: Above 6.90 the culture loses yield (~71.5 g vs ~78.3 g for in-range, p ≈ 0.003). Early corrective action is required as pH approaches the ceiling.</w:t>
      </w:r>
    </w:p>
    <w:p>
      <w:pPr>
        <w:pStyle w:val="Heading2"/>
      </w:pPr>
      <w:r>
        <w:t>3. Dissolved Oxygen (DO) Control</w:t>
      </w:r>
    </w:p>
    <w:p>
      <w:pPr>
        <w:pStyle w:val="ListBullet"/>
      </w:pPr>
      <w:r>
        <w:t>Setpoint: [Production]DO_Stab_Avg ~ 40 % air saturation (band 35–45 %).</w:t>
      </w:r>
    </w:p>
    <w:p>
      <w:pPr>
        <w:pStyle w:val="ListBullet"/>
      </w:pPr>
      <w:r>
        <w:t>Stability target: [Production]DO_Stab_Std &lt; 5 %. Larger variability triggers a control review.</w:t>
      </w:r>
    </w:p>
    <w:p>
      <w:pPr>
        <w:pStyle w:val="ListBullet"/>
      </w:pPr>
      <w:r>
        <w:t>Oxygen supply: cascade sparge/O2 enrichment. The [Production]O2_supply_slope should ramp decisively during the growth phase to meet rising demand; a shallow ramp is an alarming trend for yield.</w:t>
      </w:r>
    </w:p>
    <w:p>
      <w:pPr>
        <w:pStyle w:val="ListBullet"/>
      </w:pPr>
      <w:r>
        <w:t>Alarm: low DO alarm at 30 %.</w:t>
      </w:r>
    </w:p>
    <w:p>
      <w:pPr>
        <w:pStyle w:val="Heading2"/>
      </w:pPr>
      <w:r>
        <w:t>4. Temperature and Temperature-Shift Timing</w:t>
      </w:r>
    </w:p>
    <w:p>
      <w:pPr>
        <w:pStyle w:val="ListBullet"/>
      </w:pPr>
      <w:r>
        <w:t>Initial temperature: [Production]Temp_First 36.5–37.0 °C.</w:t>
      </w:r>
    </w:p>
    <w:p>
      <w:pPr>
        <w:pStyle w:val="ListBullet"/>
      </w:pPr>
      <w:r>
        <w:t>Shift strategy: apply the production temperature down-shift early, target [Production]Temp_Drop_Time_hr ≤ 60 hr (best-practice 50–58 hr). Later shifts are associated with lower yield.</w:t>
      </w:r>
    </w:p>
    <w:p>
      <w:pPr>
        <w:pStyle w:val="ListBullet"/>
      </w:pPr>
      <w:r>
        <w:t>Trigger: shift on the defined culture criterion (density/time); audit the trigger if shift timing drifts later across batches.</w:t>
      </w:r>
    </w:p>
    <w:p>
      <w:pPr>
        <w:pStyle w:val="Heading2"/>
      </w:pPr>
      <w:r>
        <w:t>5. Glucose Feed Strategy (Media B)</w:t>
      </w:r>
    </w:p>
    <w:p>
      <w:pPr>
        <w:pStyle w:val="ListBullet"/>
      </w:pPr>
      <w:r>
        <w:t>Target concentration: [media_prep][media][Media B] Glucose_Conc 4.0–5.5 g/L, maintained by demand-based feeding.</w:t>
      </w:r>
    </w:p>
    <w:p>
      <w:pPr>
        <w:pStyle w:val="ListBullet"/>
      </w:pPr>
      <w:r>
        <w:t>Anti-over-feed control: avoid fixed generous bolus feeding. Over-feeding drives the metabolic/pH drift that pushes pH through the 6.90 ceiling (the pH × glucose interaction). Feed strategy and pH control are managed together.</w:t>
      </w:r>
    </w:p>
    <w:p>
      <w:pPr>
        <w:pStyle w:val="Heading2"/>
      </w:pPr>
      <w:r>
        <w:t>6. Media Osmolality (Media B)</w:t>
      </w:r>
    </w:p>
    <w:p>
      <w:pPr>
        <w:pStyle w:val="ListBullet"/>
      </w:pPr>
      <w:r>
        <w:t>Target: [media_prep][media][Media B] Osmo 310 mOsm/kg, control band 310 ± 15 (295–325), golden band 310 ± 10.</w:t>
      </w:r>
    </w:p>
    <w:p>
      <w:pPr>
        <w:pStyle w:val="ListBullet"/>
      </w:pPr>
      <w:r>
        <w:t>Logic: osmolality has a U-shaped effect on yield; both high and low deviations are corrected at media prep/QC before release.</w:t>
      </w:r>
    </w:p>
    <w:p>
      <w:pPr>
        <w:pStyle w:val="Heading2"/>
      </w:pPr>
      <w:r>
        <w:t>7. Seed Release Gate</w:t>
      </w:r>
    </w:p>
    <w:p>
      <w:pPr>
        <w:pStyle w:val="ListBullet"/>
      </w:pPr>
      <w:r>
        <w:t>[flask_filtered][flask]125mL_Final Viability ≥ 95 % and 125mL_Final VCD within 3.0–5.0 ×10^6 cells/mL required before inoculation. Sub-spec seed is not advanced.</w:t>
      </w:r>
    </w:p>
    <w:p>
      <w:pPr>
        <w:pStyle w:val="Heading2"/>
      </w:pPr>
      <w:r>
        <w:t>8. DSP Load / Hold Limits</w:t>
      </w:r>
    </w:p>
    <w:p>
      <w:pPr>
        <w:pStyle w:val="ListBullet"/>
      </w:pPr>
      <w:r>
        <w:t>CEO Load Cond (mS/cm) 5–8; conditioning outside this weakly reduces CEX recovery.</w:t>
      </w:r>
    </w:p>
    <w:p>
      <w:pPr>
        <w:pStyle w:val="ListBullet"/>
      </w:pPr>
      <w:r>
        <w:t>AEO Load Conc. (g/L) 3–8; AEO Hold Time (hr) &lt; 24 to protect recovery/purity.</w:t>
      </w:r>
    </w:p>
    <w:p>
      <w:pPr>
        <w:pStyle w:val="ListBullet"/>
      </w:pPr>
      <w:r>
        <w:t>These are DSP recovery controls (affecting DSP_Final_Protein), not USP yield controls.</w:t>
      </w:r>
    </w:p>
    <w:p>
      <w:pPr>
        <w:pStyle w:val="Heading2"/>
      </w:pPr>
      <w:r>
        <w:t>9. Alarm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Action / Excursion</w:t>
            </w:r>
          </w:p>
        </w:tc>
      </w:tr>
      <w:tr>
        <w:tc>
          <w:tcPr>
            <w:tcW w:type="dxa" w:w="2880"/>
          </w:tcPr>
          <w:p>
            <w:r>
              <w:t>pH_BI</w:t>
            </w:r>
          </w:p>
        </w:tc>
        <w:tc>
          <w:tcPr>
            <w:tcW w:type="dxa" w:w="2880"/>
          </w:tcPr>
          <w:p>
            <w:r>
              <w:t>≥ 6.88</w:t>
            </w:r>
          </w:p>
        </w:tc>
        <w:tc>
          <w:tcPr>
            <w:tcW w:type="dxa" w:w="2880"/>
          </w:tcPr>
          <w:p>
            <w:r>
              <w:t>≥ 6.90 (excursion)</w:t>
            </w:r>
          </w:p>
        </w:tc>
      </w:tr>
      <w:tr>
        <w:tc>
          <w:tcPr>
            <w:tcW w:type="dxa" w:w="2880"/>
          </w:tcPr>
          <w:p>
            <w:r>
              <w:t>DO_Stab_Avg</w:t>
            </w:r>
          </w:p>
        </w:tc>
        <w:tc>
          <w:tcPr>
            <w:tcW w:type="dxa" w:w="2880"/>
          </w:tcPr>
          <w:p>
            <w:r>
              <w:t>&lt; 33 %</w:t>
            </w:r>
          </w:p>
        </w:tc>
        <w:tc>
          <w:tcPr>
            <w:tcW w:type="dxa" w:w="2880"/>
          </w:tcPr>
          <w:p>
            <w:r>
              <w:t>&lt; 30 %</w:t>
            </w:r>
          </w:p>
        </w:tc>
      </w:tr>
      <w:tr>
        <w:tc>
          <w:tcPr>
            <w:tcW w:type="dxa" w:w="2880"/>
          </w:tcPr>
          <w:p>
            <w:r>
              <w:t>Temp_Drop_Time_hr</w:t>
            </w:r>
          </w:p>
        </w:tc>
        <w:tc>
          <w:tcPr>
            <w:tcW w:type="dxa" w:w="2880"/>
          </w:tcPr>
          <w:p>
            <w:r>
              <w:t>&gt; 60 hr</w:t>
            </w:r>
          </w:p>
        </w:tc>
        <w:tc>
          <w:tcPr>
            <w:tcW w:type="dxa" w:w="2880"/>
          </w:tcPr>
          <w:p>
            <w:r>
              <w:t>&gt; 66 hr</w:t>
            </w:r>
          </w:p>
        </w:tc>
      </w:tr>
      <w:tr>
        <w:tc>
          <w:tcPr>
            <w:tcW w:type="dxa" w:w="2880"/>
          </w:tcPr>
          <w:p>
            <w:r>
              <w:t>Media B Osmo</w:t>
            </w:r>
          </w:p>
        </w:tc>
        <w:tc>
          <w:tcPr>
            <w:tcW w:type="dxa" w:w="2880"/>
          </w:tcPr>
          <w:p>
            <w:r>
              <w:t>outside 300–320</w:t>
            </w:r>
          </w:p>
        </w:tc>
        <w:tc>
          <w:tcPr>
            <w:tcW w:type="dxa" w:w="2880"/>
          </w:tcPr>
          <w:p>
            <w:r>
              <w:t>outside 295–325</w:t>
            </w:r>
          </w:p>
        </w:tc>
      </w:tr>
      <w:tr>
        <w:tc>
          <w:tcPr>
            <w:tcW w:type="dxa" w:w="2880"/>
          </w:tcPr>
          <w:p>
            <w:r>
              <w:t>Seed Viability</w:t>
            </w:r>
          </w:p>
        </w:tc>
        <w:tc>
          <w:tcPr>
            <w:tcW w:type="dxa" w:w="2880"/>
          </w:tcPr>
          <w:p>
            <w:r>
              <w:t>&lt; 96 %</w:t>
            </w:r>
          </w:p>
        </w:tc>
        <w:tc>
          <w:tcPr>
            <w:tcW w:type="dxa" w:w="2880"/>
          </w:tcPr>
          <w:p>
            <w:r>
              <w:t>&lt; 95 % (hold)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