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Interpretation Guide — From Model Output to Process Decisions</w:t>
      </w:r>
    </w:p>
    <w:p>
      <w:r>
        <w:rPr>
          <w:i/>
          <w:color w:val="6B6B6B"/>
          <w:sz w:val="18"/>
        </w:rPr>
        <w:t>Document ID: PTD-09 | Revision: 2.4 | Effective: 2026-04-15</w:t>
      </w:r>
    </w:p>
    <w:p>
      <w:r>
        <w:t>Audience: MSAT reviewers and the Golden Batch Multi-Agent MSAT Agent.</w:t>
      </w:r>
    </w:p>
    <w:p>
      <w:pPr>
        <w:pStyle w:val="Heading2"/>
      </w:pPr>
      <w:r>
        <w:t>1. Purpose</w:t>
      </w:r>
    </w:p>
    <w:p>
      <w:r>
        <w:t>This guide explains how to translate the machine-learning / statistical outputs used in the Golden Batch application into process decisions, and how to avoid common misinterpretations. It connects model evidence to the CPP↔CQA framework (PTD-03) and the caution that models provide evidence, not proof of causation.</w:t>
      </w:r>
    </w:p>
    <w:p>
      <w:pPr>
        <w:pStyle w:val="Heading2"/>
      </w:pPr>
      <w:r>
        <w:t>2. Reading SHAP Rankings</w:t>
      </w:r>
    </w:p>
    <w:p>
      <w:r>
        <w:t>The yield model reports mean |SHAP| values that rank features by their average contribution to predicted Product. Yield. Interpretation:</w:t>
      </w:r>
    </w:p>
    <w:p>
      <w:pPr>
        <w:pStyle w:val="ListBullet"/>
      </w:pPr>
      <w:r>
        <w:t>A high mean |SHAP| means the feature moves predicted yield strongly and consistently. For this process, [prd_final]VCD_BI is expected to top the ranking, followed by [Production]O2_supply_slope, seed 125mL_Final Viability, [prd_final]pH_BI, [media_prep][media][Media B] Osmo, and [Production]Temp_Drop_Time_hr.</w:t>
      </w:r>
    </w:p>
    <w:p>
      <w:pPr>
        <w:pStyle w:val="ListBullet"/>
      </w:pPr>
      <w:r>
        <w:t>SHAP shows magnitude and direction locally but not shape by itself. Use dependence plots to see nonlinearity: pH_BI shows a threshold (loss above 6.9); Media B Osmo shows a U-shape (loss away from ~310); Temp_Drop_Time_hr is monotonic negative.</w:t>
      </w:r>
    </w:p>
    <w:p>
      <w:pPr>
        <w:pStyle w:val="ListBullet"/>
      </w:pPr>
      <w:r>
        <w:t>A noise feature (pCO2_BI, NH4+_BI, Gln_BI, centrifuge speed, filter DP, air-flow means) occasionally receives non-zero SHAP from chance structure. Rank it against PTD-03; if it is Low-criticality, do not elevate it to a root cause.</w:t>
      </w:r>
    </w:p>
    <w:p>
      <w:pPr>
        <w:pStyle w:val="Heading2"/>
      </w:pPr>
      <w:r>
        <w:t>3. Group Differences and p-values</w:t>
      </w:r>
    </w:p>
    <w:p>
      <w:r>
        <w:t>For categorical comparisons (e.g., pH_BI &gt; 6.9 vs ≤ 6.9), a Welch t-test is used. The planted, confirmed finding: the high-pH group averages ~71.5 g vs ~78.3 g for the in-range group, p ≈ 0.003. A p-value &lt; 0.05 indicates the difference is unlikely to be chance, supporting a real effect. p-values quantify evidence against the null; they do not measure effect size — always report the group means alongside.</w:t>
      </w:r>
    </w:p>
    <w:p>
      <w:pPr>
        <w:pStyle w:val="Heading2"/>
      </w:pPr>
      <w:r>
        <w:t>4. Model Fit — CV RMSE</w:t>
      </w:r>
    </w:p>
    <w:p>
      <w:r>
        <w:t>Model quality is reported as cross-validated RMSE on Product. Yield (which has std ~10 g). A CV RMSE meaningfully below the outcome std indicates the model captures real signal; an RMSE near the std indicates weak predictive value and rankings should be treated cautiously. Always use cross-validated (not training) error to avoid over-optimism.</w:t>
      </w:r>
    </w:p>
    <w:p>
      <w:pPr>
        <w:pStyle w:val="Heading2"/>
      </w:pPr>
      <w:r>
        <w:t>5. Multicollinearity — Why Redundant Features Are Dropped</w:t>
      </w:r>
    </w:p>
    <w:p>
      <w:r>
        <w:t>When two features carry the same information, a model may split credit between them arbitrarily, distorting rankings. We remove one of each strongly collinear pair (Spearman &gt; 0.9) before ranking:</w:t>
      </w:r>
    </w:p>
    <w:p>
      <w:pPr>
        <w:pStyle w:val="ListBullet"/>
      </w:pPr>
      <w:r>
        <w:t>[Production]O2_supply_sum ~ [Production]O2_supply_slope — keep slope.</w:t>
      </w:r>
    </w:p>
    <w:p>
      <w:pPr>
        <w:pStyle w:val="ListBullet"/>
      </w:pPr>
      <w:r>
        <w:t>[prd_final]Via_BI ~ seed 125mL_Final Viability — treat as one signal.</w:t>
      </w:r>
    </w:p>
    <w:p>
      <w:pPr>
        <w:pStyle w:val="ListBullet"/>
      </w:pPr>
      <w:r>
        <w:t>[prd_final]Normalized Titer by 1000_BI ~ [prd_final]VCD_BI — keep VCD.</w:t>
      </w:r>
    </w:p>
    <w:p>
      <w:r>
        <w:t>If a "surprising" feature appears important, first check whether it is a proxy for one of these.</w:t>
      </w:r>
    </w:p>
    <w:p>
      <w:pPr>
        <w:pStyle w:val="Heading2"/>
      </w:pPr>
      <w:r>
        <w:t>6. Evidence, Not Causation — SME Confirmation</w:t>
      </w:r>
    </w:p>
    <w:p>
      <w:r>
        <w:t>Machine learning identifies associations. A feature ranking high is a hypothesis about a driver, to be confirmed against process understanding (PTD-02/03/07) and, ideally, controlled study. The MSAT Agent should:</w:t>
      </w:r>
    </w:p>
    <w:p>
      <w:r>
        <w:t>1. Cite the ranked driver(s) and their direction/shape.</w:t>
      </w:r>
    </w:p>
    <w:p>
      <w:r>
        <w:t>2. Cross-check against PTD-03 criticality and PTD-07 SME heuristics.</w:t>
      </w:r>
    </w:p>
    <w:p>
      <w:r>
        <w:t>3. Decline to attribute causation to a Low-criticality/noise feature even if it ranks non-zero.</w:t>
      </w:r>
    </w:p>
    <w:p>
      <w:r>
        <w:t>4. State group means and p-values when making a difference claim.</w:t>
      </w:r>
    </w:p>
    <w:p>
      <w:r>
        <w:t>This discipline keeps the app's conclusions consistent with the known ground truth and defensible to reviewers.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