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Batch Analysis Report — Recommended Golden Window</w:t>
      </w:r>
    </w:p>
    <w:p>
      <w:r>
        <w:rPr>
          <w:i/>
          <w:color w:val="6B6B6B"/>
          <w:sz w:val="18"/>
        </w:rPr>
        <w:t>Document ID: PTD-10 | Revision: 1.5 | Prepared by: MSAT | Date: 2026-05-06</w:t>
      </w:r>
    </w:p>
    <w:p>
      <w:r>
        <w:t>Reference dataset: Campaigns 24-A through 25-C. Outcome: [harvest][Harvest] Product. Yield (mean ~76.5 g, std ~10, range ~47–99 g).</w:t>
      </w:r>
    </w:p>
    <w:p>
      <w:pPr>
        <w:pStyle w:val="Heading2"/>
      </w:pPr>
      <w:r>
        <w:t>1. Executive Summary</w:t>
      </w:r>
    </w:p>
    <w:p>
      <w:r>
        <w:t>Multivariate analysis of the historical campaign data identifies a reproducible "golden window" of upstream parameters that delivers top-tier USP harvest yield (≥ 85 g). The recommended window and its evidentiary basis are summarized below. This report is the exemplar conclusion the Golden Batch Multi-Agent application should reach and cite.</w:t>
      </w:r>
    </w:p>
    <w:p>
      <w:pPr>
        <w:pStyle w:val="Heading2"/>
      </w:pPr>
      <w:r>
        <w:t>2. Recommended Golden Window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Recommended target</w:t>
            </w:r>
          </w:p>
        </w:tc>
        <w:tc>
          <w:tcPr>
            <w:tcW w:type="dxa" w:w="2160"/>
          </w:tcPr>
          <w:p>
            <w:r>
              <w:t>Criticality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[prd_final]VCD_BI</w:t>
            </w:r>
          </w:p>
        </w:tc>
        <w:tc>
          <w:tcPr>
            <w:tcW w:type="dxa" w:w="2160"/>
          </w:tcPr>
          <w:p>
            <w:r>
              <w:t>High (≥ 24 ×10^6 cells/mL)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Top mean</w:t>
            </w:r>
          </w:p>
        </w:tc>
      </w:tr>
      <w:tr>
        <w:tc>
          <w:tcPr>
            <w:tcW w:type="dxa" w:w="2160"/>
          </w:tcPr>
          <w:p>
            <w:r>
              <w:t>[Production]O2_supply_slope</w:t>
            </w:r>
          </w:p>
        </w:tc>
        <w:tc>
          <w:tcPr>
            <w:tcW w:type="dxa" w:w="2160"/>
          </w:tcPr>
          <w:p>
            <w:r>
              <w:t>Steep / top-quartile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Positive SHAP; steep ramp in all golden batches</w:t>
            </w:r>
          </w:p>
        </w:tc>
      </w:tr>
      <w:tr>
        <w:tc>
          <w:tcPr>
            <w:tcW w:type="dxa" w:w="2160"/>
          </w:tcPr>
          <w:p>
            <w:r>
              <w:t>[flask_filtered][flask]125mL_Final Viability</w:t>
            </w:r>
          </w:p>
        </w:tc>
        <w:tc>
          <w:tcPr>
            <w:tcW w:type="dxa" w:w="2160"/>
          </w:tcPr>
          <w:p>
            <w:r>
              <w:t>≥ 95 %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Positive; healthy seed → high VCD</w:t>
            </w:r>
          </w:p>
        </w:tc>
      </w:tr>
      <w:tr>
        <w:tc>
          <w:tcPr>
            <w:tcW w:type="dxa" w:w="2160"/>
          </w:tcPr>
          <w:p>
            <w:r>
              <w:t>[prd_final]pH_BI</w:t>
            </w:r>
          </w:p>
        </w:tc>
        <w:tc>
          <w:tcPr>
            <w:tcW w:type="dxa" w:w="2160"/>
          </w:tcPr>
          <w:p>
            <w:r>
              <w:t>6.7 – 6.9 (never &gt; 6.9)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Threshold loss above 6.9 (see §4)</w:t>
            </w:r>
          </w:p>
        </w:tc>
      </w:tr>
      <w:tr>
        <w:tc>
          <w:tcPr>
            <w:tcW w:type="dxa" w:w="2160"/>
          </w:tcPr>
          <w:p>
            <w:r>
              <w:t>[media_prep][media][Media B] Osmo</w:t>
            </w:r>
          </w:p>
        </w:tc>
        <w:tc>
          <w:tcPr>
            <w:tcW w:type="dxa" w:w="2160"/>
          </w:tcPr>
          <w:p>
            <w:r>
              <w:t>~310 (±10) mOsm/kg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U-shaped optimum near 310</w:t>
            </w:r>
          </w:p>
        </w:tc>
      </w:tr>
      <w:tr>
        <w:tc>
          <w:tcPr>
            <w:tcW w:type="dxa" w:w="2160"/>
          </w:tcPr>
          <w:p>
            <w:r>
              <w:t>[Production]Temp_Drop_Time_hr</w:t>
            </w:r>
          </w:p>
        </w:tc>
        <w:tc>
          <w:tcPr>
            <w:tcW w:type="dxa" w:w="2160"/>
          </w:tcPr>
          <w:p>
            <w:r>
              <w:t>Early (≤ 60 hr)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Monotonic negative; earlier shift → higher yield</w:t>
            </w:r>
          </w:p>
        </w:tc>
      </w:tr>
      <w:tr>
        <w:tc>
          <w:tcPr>
            <w:tcW w:type="dxa" w:w="2160"/>
          </w:tcPr>
          <w:p>
            <w:r>
              <w:t>[media_prep][media][Media B] Glucose_Conc</w:t>
            </w:r>
          </w:p>
        </w:tc>
        <w:tc>
          <w:tcPr>
            <w:tcW w:type="dxa" w:w="2160"/>
          </w:tcPr>
          <w:p>
            <w:r>
              <w:t>4.0 – 5.5 g/L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Over-feeding drives pH drift (interaction)</w:t>
            </w:r>
          </w:p>
        </w:tc>
      </w:tr>
    </w:tbl>
    <w:p>
      <w:pPr>
        <w:pStyle w:val="Heading2"/>
      </w:pPr>
      <w:r>
        <w:t>3. Ranked Drivers (mean |SHAP|, yield model)</w:t>
      </w:r>
    </w:p>
    <w:p>
      <w:r>
        <w:t>1. [prd_final]VCD_BI — strongest, positive.</w:t>
      </w:r>
    </w:p>
    <w:p>
      <w:r>
        <w:t>2. [Production]O2_supply_slope — positive.</w:t>
      </w:r>
    </w:p>
    <w:p>
      <w:r>
        <w:t>3. [flask_filtered][flask]125mL_Final Viability — positive.</w:t>
      </w:r>
    </w:p>
    <w:p>
      <w:r>
        <w:t>4. [prd_final]pH_BI — negative above 6.9.</w:t>
      </w:r>
    </w:p>
    <w:p>
      <w:r>
        <w:t>5. [media_prep][media][Media B] Osmo — U-shaped.</w:t>
      </w:r>
    </w:p>
    <w:p>
      <w:r>
        <w:t>6. [Production]Temp_Drop_Time_hr — negative (later worse).</w:t>
      </w:r>
    </w:p>
    <w:p>
      <w:r>
        <w:t>Collinear proxies (O2_supply_sum, Via_BI, Normalized Titer by 1000_BI) were pruned per PTD-09. Noise parameters (pCO2_BI, NH4+_BI, Gln_BI, centrifuge speed, filter DP, air-flow means) ranked low and are not part of the golden window.</w:t>
      </w:r>
    </w:p>
    <w:p>
      <w:pPr>
        <w:pStyle w:val="Heading2"/>
      </w:pPr>
      <w:r>
        <w:t>4. Key Statistical Findings</w:t>
      </w:r>
    </w:p>
    <w:p>
      <w:pPr>
        <w:pStyle w:val="ListBullet"/>
      </w:pPr>
      <w:r>
        <w:t>pH threshold: batches with pH_BI &gt; 6.9 averaged ~71.5 g vs ~78.3 g for ≤ 6.9 (Welch t-test, p ≈ 0.003). Hold pH at or below the 6.9 ceiling.</w:t>
      </w:r>
    </w:p>
    <w:p>
      <w:pPr>
        <w:pStyle w:val="ListBullet"/>
      </w:pPr>
      <w:r>
        <w:t>Osmolality valley: yield peaks near 310 mOsm/kg and declines for both high and low deviations (e.g., B2418 at 284 and B2506 at 331 both underperformed).</w:t>
      </w:r>
    </w:p>
    <w:p>
      <w:pPr>
        <w:pStyle w:val="ListBullet"/>
      </w:pPr>
      <w:r>
        <w:t>Temp-shift timing: golden batches shifted at 50–58 hr; late shifts (66–70 hr) accompanied low yield.</w:t>
      </w:r>
    </w:p>
    <w:p>
      <w:pPr>
        <w:pStyle w:val="ListBullet"/>
      </w:pPr>
      <w:r>
        <w:t>Interaction: high pH combined with glucose over-feeding produces excess loss beyond either factor alone (B2412).</w:t>
      </w:r>
    </w:p>
    <w:p>
      <w:pPr>
        <w:pStyle w:val="Heading2"/>
      </w:pPr>
      <w:r>
        <w:t>5. Exemplar Batch</w:t>
      </w:r>
    </w:p>
    <w:p>
      <w:r>
        <w:t>B2401 (92.4 g) realizes the full golden window: seed viability 97 %, VCD_BI 27.1, pH_BI 6.82, Media B Osmo 308, Temp_Drop_Time 54 hr, steep O2_supply_slope. It is the recommended reference profile.</w:t>
      </w:r>
    </w:p>
    <w:p>
      <w:pPr>
        <w:pStyle w:val="Heading2"/>
      </w:pPr>
      <w:r>
        <w:t>6. Recommendation</w:t>
      </w:r>
    </w:p>
    <w:p>
      <w:r>
        <w:t>Target the golden window on every batch, prioritizing the High-criticality drivers. Treat a pH excursion above 6.9, off-target osmolality, or a late temperature shift as the first-line hypotheses for any yield shortfall. Confirm all model-derived conclusions against SME process knowledge (PTD-07) and the CPP↔CQA matrix (PTD-03) before acting — the model provides evidence, not proof of causation.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