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数据处理标准</w:t>
      </w:r>
    </w:p>
    <w:p>
      <w:pPr>
        <w:pStyle w:val="3"/>
        <w:jc w:val="left"/>
      </w:pPr>
      <w:r>
        <w:rPr/>
        <w:t>数据处理标准</w:t>
      </w:r>
    </w:p>
    <w:p>
      <w:pPr>
        <w:jc w:val="left"/>
      </w:pPr>
      <w:r>
        <w:rPr>
          <w:b/>
          <w:bCs/>
        </w:rPr>
        <w:t>版本：</w:t>
      </w:r>
      <w:r>
        <w:rPr/>
        <w:t xml:space="preserve"> v1.0</w:t>
      </w:r>
    </w:p>
    <w:p>
      <w:pPr>
        <w:jc w:val="left"/>
      </w:pPr>
      <w:r>
        <w:rPr>
          <w:b/>
          <w:bCs/>
        </w:rPr>
        <w:t>编制日期：</w:t>
      </w:r>
      <w:r>
        <w:rPr/>
        <w:t xml:space="preserve"> 2025.11.18</w:t>
      </w:r>
    </w:p>
    <w:p>
      <w:pPr>
        <w:jc w:val="left"/>
      </w:pPr>
      <w:r>
        <w:rPr>
          <w:b/>
          <w:bCs/>
        </w:rPr>
        <w:t>负责人/单位：</w:t>
      </w:r>
      <w:r>
        <w:rPr/>
        <w:t xml:space="preserve"> AI产业部</w:t>
      </w:r>
    </w:p>
    <w:p>
      <w:pPr>
        <w:jc w:val="left"/>
      </w:pPr>
      <w:r>
        <w:rPr>
          <w:b/>
          <w:bCs/>
        </w:rPr>
        <w:t>适用范围：</w:t>
      </w:r>
      <w:r>
        <w:rPr/>
        <w:t xml:space="preserve"> 日本地区陆上工厂化养殖的南美白对虾数据处理标准与规范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1. 数据处理流程概述</w:t>
      </w:r>
    </w:p>
    <w:p>
      <w:pPr>
        <w:pStyle w:val="5"/>
        <w:jc w:val="left"/>
      </w:pPr>
      <w:r>
        <w:rPr/>
        <w:t>1.1 处理流程（ETL/ELT）</w:t>
      </w:r>
    </w:p>
    <w:p>
      <w:pPr>
        <w:jc w:val="left"/>
      </w:pPr>
      <w:r>
        <w:rPr/>
        <w:t>数据处理采用ETL（Extract, Transform, Load）或ELT（Extract, Load, Transform）模式：</w:t>
      </w:r>
    </w:p>
    <w:p>
      <w:pPr>
        <w:pStyle w:val="15"/>
        <w:numPr>
          <w:ilvl w:val="0"/>
          <w:numId w:val="3"/>
        </w:numPr>
        <w:jc w:val="left"/>
      </w:pPr>
      <w:r>
        <w:rPr/>
        <w:t>原始数据接收 → 数据清洗与标准化 → 数据转换 → 数据入库 → 数据质量检查</w:t>
      </w:r>
    </w:p>
    <w:p>
      <w:pPr>
        <w:pStyle w:val="5"/>
        <w:jc w:val="left"/>
      </w:pPr>
      <w:r>
        <w:rPr/>
        <w:t>1.2 处理原则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幂等性</w:t>
      </w:r>
      <w:r>
        <w:rPr/>
        <w:t>：重复处理同一数据应产生相同结果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可追溯性</w:t>
      </w:r>
      <w:r>
        <w:rPr/>
        <w:t>：保留处理日志和版本信息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可扩展性</w:t>
      </w:r>
      <w:r>
        <w:rPr/>
        <w:t>：支持新增数据源和处理规则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容错性</w:t>
      </w:r>
      <w:r>
        <w:rPr/>
        <w:t>：处理失败时支持重试和恢复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2. 原始数据接收标准</w:t>
      </w:r>
    </w:p>
    <w:p>
      <w:pPr>
        <w:pStyle w:val="5"/>
        <w:jc w:val="left"/>
      </w:pPr>
      <w:r>
        <w:rPr/>
        <w:t>2.1 接收前校验</w:t>
      </w:r>
    </w:p>
    <w:p>
      <w:pPr>
        <w:pStyle w:val="6"/>
        <w:jc w:val="left"/>
      </w:pPr>
      <w:r>
        <w:rPr/>
        <w:t>完整性校验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数据包完整性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检查数据包是否完整</w:t>
      </w:r>
    </w:p>
    <w:p>
      <w:pPr>
        <w:numPr>
          <w:ilvl w:val="1"/>
          <w:numId w:val="2"/>
        </w:numPr>
        <w:jc w:val="left"/>
      </w:pPr>
      <w:r>
        <w:rPr/>
        <w:t>检查必填字段是否存在</w:t>
      </w:r>
    </w:p>
    <w:p>
      <w:pPr>
        <w:numPr>
          <w:ilvl w:val="1"/>
          <w:numId w:val="2"/>
        </w:numPr>
        <w:jc w:val="left"/>
      </w:pPr>
      <w:r>
        <w:rPr/>
        <w:t>检查数据量是否符合预期</w:t>
      </w:r>
    </w:p>
    <w:p>
      <w:pPr>
        <w:pStyle w:val="6"/>
        <w:jc w:val="left"/>
      </w:pPr>
      <w:r>
        <w:rPr/>
        <w:t>格式校验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字段校验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检查必填字段是否存在</w:t>
      </w:r>
    </w:p>
    <w:p>
      <w:pPr>
        <w:numPr>
          <w:ilvl w:val="1"/>
          <w:numId w:val="2"/>
        </w:numPr>
        <w:jc w:val="left"/>
      </w:pPr>
      <w:r>
        <w:rPr/>
        <w:t>检查字段类型是否正确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类型校验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数值类型：检查是否为有效数字</w:t>
      </w:r>
    </w:p>
    <w:p>
      <w:pPr>
        <w:numPr>
          <w:ilvl w:val="1"/>
          <w:numId w:val="2"/>
        </w:numPr>
        <w:jc w:val="left"/>
      </w:pPr>
      <w:r>
        <w:rPr/>
        <w:t>日期时间类型：检查格式是否正确</w:t>
      </w:r>
    </w:p>
    <w:p>
      <w:pPr>
        <w:numPr>
          <w:ilvl w:val="1"/>
          <w:numId w:val="2"/>
        </w:numPr>
        <w:jc w:val="left"/>
      </w:pPr>
      <w:r>
        <w:rPr/>
        <w:t>枚举类型：检查值是否在允许范围内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单位校验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检查单位字段是否存在</w:t>
      </w:r>
    </w:p>
    <w:p>
      <w:pPr>
        <w:numPr>
          <w:ilvl w:val="1"/>
          <w:numId w:val="2"/>
        </w:numPr>
        <w:jc w:val="left"/>
      </w:pPr>
      <w:r>
        <w:rPr/>
        <w:t>检查单位是否符合标准（如：mg/L, °C, pH等）</w:t>
      </w:r>
    </w:p>
    <w:p>
      <w:pPr>
        <w:pStyle w:val="5"/>
        <w:jc w:val="left"/>
      </w:pPr>
      <w:r>
        <w:rPr/>
        <w:t>2.2 接收后处理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时间戳记录</w:t>
      </w:r>
      <w:r>
        <w:rPr/>
        <w:t>：记录数据接收时间（receive_time）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数据标识</w:t>
      </w:r>
      <w:r>
        <w:rPr/>
        <w:t>：生成唯一数据ID（data_id）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3. 数据清洗与标准化</w:t>
      </w:r>
    </w:p>
    <w:p>
      <w:pPr>
        <w:pStyle w:val="5"/>
        <w:jc w:val="left"/>
      </w:pPr>
      <w:r>
        <w:rPr/>
        <w:t>3.1 时间标准化</w:t>
      </w:r>
    </w:p>
    <w:p>
      <w:pPr>
        <w:pStyle w:val="6"/>
        <w:jc w:val="left"/>
      </w:pPr>
      <w:r>
        <w:rPr/>
        <w:t>UTC时间转换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要求</w:t>
      </w:r>
      <w:r>
        <w:rPr/>
        <w:t>：所有时间戳必须转换为UTC时间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格式</w:t>
      </w:r>
      <w:r>
        <w:rPr/>
        <w:t>：</w:t>
      </w:r>
      <w:r>
        <w:rPr>
          <w:rStyle w:val="13"/>
        </w:rPr>
        <w:t>DATETIME(3)</w:t>
      </w:r>
      <w:r>
        <w:rPr/>
        <w:t xml:space="preserve"> - 包含毫秒精度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示例</w:t>
      </w:r>
      <w:r>
        <w:rPr/>
        <w:t>：</w:t>
      </w:r>
      <w:r>
        <w:rPr>
          <w:rStyle w:val="13"/>
        </w:rPr>
        <w:t>2025-11-18 14:30:00.123</w:t>
      </w:r>
    </w:p>
    <w:p>
      <w:pPr>
        <w:pStyle w:val="6"/>
        <w:jc w:val="left"/>
      </w:pPr>
      <w:r>
        <w:rPr/>
        <w:t>本地时间记录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时区</w:t>
      </w:r>
      <w:r>
        <w:rPr/>
        <w:t>：日本时区（Asia/Tokyo, UTC+9）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格式</w:t>
      </w:r>
      <w:r>
        <w:rPr/>
        <w:t>：</w:t>
      </w:r>
      <w:r>
        <w:rPr>
          <w:rStyle w:val="13"/>
        </w:rPr>
        <w:t>DATETIME(3)</w:t>
      </w:r>
      <w:r>
        <w:rPr/>
        <w:t xml:space="preserve"> - 包含毫秒精度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用途</w:t>
      </w:r>
      <w:r>
        <w:rPr/>
        <w:t>：便于本地化查询和展示</w:t>
      </w:r>
    </w:p>
    <w:p>
      <w:pPr>
        <w:pStyle w:val="6"/>
        <w:jc w:val="left"/>
      </w:pPr>
      <w:r>
        <w:rPr/>
        <w:t>时间校验规则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时间范围</w:t>
      </w:r>
      <w:r>
        <w:rPr/>
        <w:t>：检查时间戳是否在合理范围内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时间顺序</w:t>
      </w:r>
      <w:r>
        <w:rPr/>
        <w:t>：检查时间戳是否按顺序递增（允许小范围波动）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时区一致性</w:t>
      </w:r>
      <w:r>
        <w:rPr/>
        <w:t>：确保UTC和本地时间的时区转换正确</w:t>
      </w:r>
    </w:p>
    <w:p>
      <w:pPr>
        <w:pStyle w:val="5"/>
        <w:jc w:val="left"/>
      </w:pPr>
      <w:r>
        <w:rPr/>
        <w:t>3.2 单位换算与统一</w:t>
      </w:r>
    </w:p>
    <w:p>
      <w:pPr>
        <w:pStyle w:val="6"/>
        <w:jc w:val="left"/>
      </w:pPr>
      <w:r>
        <w:rPr/>
        <w:t>传感器数据单位标准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标准单位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允许单位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换算规则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水温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°C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°C, K, °F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K = °C + 273.15, °F = °C × 9/5 + 32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溶解氧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mg/L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mg/L, ppm, 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 mg/L = 1 ppm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pH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pH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pH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无换算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盐度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ppt (‰)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ppt, PSU, g/L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 ppt ≈ 1 PSU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氨氮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mg/L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mg/L, ppm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 mg/L = 1 ppm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亚硝酸盐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mg/L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mg/L, ppm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 mg/L = 1 ppm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浊度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NTU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NTU, FTU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 NTU ≈ 1 FTU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水位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m, cm, mm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 m = 100 cm = 1000 mm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光照强度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lux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lux, lx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无换算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温度（室内）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°C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°C, K, °F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同水温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湿度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%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无换算</w:t>
            </w:r>
          </w:p>
        </w:tc>
      </w:tr>
    </w:tbl>
    <w:p>
      <w:pPr>
        <w:pStyle w:val="6"/>
        <w:jc w:val="left"/>
      </w:pPr>
      <w:r>
        <w:rPr/>
        <w:t>单位换算处理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自动识别</w:t>
      </w:r>
      <w:r>
        <w:rPr/>
        <w:t>：根据单位字段自动识别单位类型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自动换算</w:t>
      </w:r>
      <w:r>
        <w:rPr/>
        <w:t>：将非标准单位换算为标准单位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单位记录</w:t>
      </w:r>
      <w:r>
        <w:rPr/>
        <w:t>：保留原始单位信息（如需要）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异常处理</w:t>
      </w:r>
      <w:r>
        <w:rPr/>
        <w:t>：无法识别的单位标记为异常</w:t>
      </w:r>
    </w:p>
    <w:p>
      <w:pPr>
        <w:pStyle w:val="5"/>
        <w:jc w:val="left"/>
      </w:pPr>
      <w:r>
        <w:rPr/>
        <w:t>3.3 缺失值处理</w:t>
      </w:r>
    </w:p>
    <w:p>
      <w:pPr>
        <w:pStyle w:val="6"/>
        <w:jc w:val="left"/>
      </w:pPr>
      <w:r>
        <w:rPr/>
        <w:t>缺失值识别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NULL值</w:t>
      </w:r>
      <w:r>
        <w:rPr/>
        <w:t>：数据库NULL值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空字符串</w:t>
      </w:r>
      <w:r>
        <w:rPr/>
        <w:t>：空字符串或仅包含空白字符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特殊标记</w:t>
      </w:r>
      <w:r>
        <w:rPr/>
        <w:t>：设备标记的缺失值（如：-999, 9999等）</w:t>
      </w:r>
    </w:p>
    <w:p>
      <w:pPr>
        <w:pStyle w:val="6"/>
        <w:jc w:val="left"/>
      </w:pPr>
      <w:r>
        <w:rPr/>
        <w:t>缺失值处理策略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策略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适用场景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处理方式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领域规则插值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有业务规则约束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根据业务规则插值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删除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缺失比例高，影响分析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标记后删除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标记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无法插值或删除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标记为missing，保留原始记录</w:t>
            </w:r>
          </w:p>
        </w:tc>
      </w:tr>
    </w:tbl>
    <w:p>
      <w:pPr>
        <w:pStyle w:val="6"/>
        <w:jc w:val="left"/>
      </w:pPr>
      <w:r>
        <w:rPr/>
        <w:t>缺失值处理规则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缺失比例 &lt; 5%</w:t>
      </w:r>
      <w:r>
        <w:rPr/>
        <w:t>：使用插值方法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缺失比例 5-20%</w:t>
      </w:r>
      <w:r>
        <w:rPr/>
        <w:t>：使用插值方法，标记为可疑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缺失比例 &gt; 20%</w:t>
      </w:r>
      <w:r>
        <w:rPr/>
        <w:t>：标记为异常，需要人工审核</w:t>
      </w:r>
    </w:p>
    <w:p>
      <w:pPr>
        <w:pStyle w:val="5"/>
        <w:jc w:val="left"/>
      </w:pPr>
      <w:r>
        <w:rPr/>
        <w:t>3.4 异常值处理</w:t>
      </w:r>
    </w:p>
    <w:p>
      <w:pPr>
        <w:pStyle w:val="6"/>
        <w:jc w:val="left"/>
      </w:pPr>
      <w:r>
        <w:rPr/>
        <w:t>异常值检测方法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范围校验</w:t>
      </w:r>
    </w:p>
    <w:p>
      <w:pPr>
        <w:numPr>
          <w:ilvl w:val="1"/>
          <w:numId w:val="2"/>
        </w:numPr>
        <w:jc w:val="left"/>
      </w:pPr>
      <w:r>
        <w:rPr/>
        <w:t>基于业务规则的范围检查</w:t>
      </w:r>
    </w:p>
    <w:p>
      <w:pPr>
        <w:numPr>
          <w:ilvl w:val="1"/>
          <w:numId w:val="2"/>
        </w:numPr>
        <w:jc w:val="left"/>
      </w:pPr>
      <w:r>
        <w:rPr/>
        <w:t>超出合理范围的值标记为异常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传感器漂移检测</w:t>
      </w:r>
    </w:p>
    <w:p>
      <w:pPr>
        <w:numPr>
          <w:ilvl w:val="1"/>
          <w:numId w:val="2"/>
        </w:numPr>
        <w:jc w:val="left"/>
      </w:pPr>
      <w:r>
        <w:rPr/>
        <w:t>检测传感器读数是否持续偏离正常值</w:t>
      </w:r>
    </w:p>
    <w:p>
      <w:pPr>
        <w:numPr>
          <w:ilvl w:val="1"/>
          <w:numId w:val="2"/>
        </w:numPr>
        <w:jc w:val="left"/>
      </w:pPr>
      <w:r>
        <w:rPr/>
        <w:t>检测传感器是否出现系统性偏差</w:t>
      </w:r>
    </w:p>
    <w:p>
      <w:pPr>
        <w:numPr>
          <w:ilvl w:val="0"/>
          <w:numId w:val="4"/>
        </w:numPr>
        <w:jc w:val="left"/>
      </w:pPr>
      <w:r>
        <w:rPr>
          <w:b/>
          <w:bCs/>
        </w:rPr>
        <w:t>设备故障识别</w:t>
      </w:r>
    </w:p>
    <w:p>
      <w:pPr>
        <w:numPr>
          <w:ilvl w:val="1"/>
          <w:numId w:val="2"/>
        </w:numPr>
        <w:jc w:val="left"/>
      </w:pPr>
      <w:r>
        <w:rPr/>
        <w:t>检测设备是否返回错误状态</w:t>
      </w:r>
    </w:p>
    <w:p>
      <w:pPr>
        <w:numPr>
          <w:ilvl w:val="1"/>
          <w:numId w:val="2"/>
        </w:numPr>
        <w:jc w:val="left"/>
      </w:pPr>
      <w:r>
        <w:rPr/>
        <w:t>检测设备通信是否异常</w:t>
      </w:r>
    </w:p>
    <w:p>
      <w:pPr>
        <w:pStyle w:val="6"/>
        <w:jc w:val="left"/>
      </w:pPr>
      <w:r>
        <w:rPr/>
        <w:t>异常值处理策略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策略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适用场景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处理方式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标记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可疑但不确定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标记为anomaly，保留数据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人工审核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重要数据或大量异常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标记为待审核，通知管理员</w:t>
            </w:r>
          </w:p>
        </w:tc>
      </w:tr>
    </w:tbl>
    <w:p>
      <w:pPr>
        <w:pStyle w:val="6"/>
        <w:jc w:val="left"/>
      </w:pPr>
      <w:r>
        <w:rPr/>
        <w:t>异常值处理规则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单点异常</w:t>
      </w:r>
      <w:r>
        <w:rPr/>
        <w:t>：标记为anomaly，保留数据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连续异常</w:t>
      </w:r>
      <w:r>
        <w:rPr/>
        <w:t>：标记为设备故障，暂停使用该设备数据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批量异常</w:t>
      </w:r>
      <w:r>
        <w:rPr/>
        <w:t>：触发告警，需要人工介入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4. 数据转换与入库</w:t>
      </w:r>
    </w:p>
    <w:p>
      <w:pPr>
        <w:pStyle w:val="5"/>
        <w:jc w:val="left"/>
      </w:pPr>
      <w:r>
        <w:rPr/>
        <w:t>4.1 结构化数据入库</w:t>
      </w:r>
    </w:p>
    <w:p>
      <w:pPr>
        <w:pStyle w:val="6"/>
        <w:jc w:val="left"/>
      </w:pPr>
      <w:r>
        <w:rPr/>
        <w:t>数据库设计原则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主键设计</w:t>
      </w:r>
      <w:r>
        <w:rPr/>
        <w:t>：使用BIGINT UNSIGNED AUTO_INCREMENT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外键约束</w:t>
      </w:r>
      <w:r>
        <w:rPr/>
        <w:t>：确保数据关联完整性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索引设计</w:t>
      </w:r>
      <w:r>
        <w:rPr/>
        <w:t>：基于查询模式建立索引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分区策略</w:t>
      </w:r>
      <w:r>
        <w:rPr/>
        <w:t>：时间序列表按时间范围分区（可选）</w:t>
      </w:r>
    </w:p>
    <w:p>
      <w:pPr>
        <w:pStyle w:val="6"/>
        <w:jc w:val="left"/>
      </w:pPr>
      <w:r>
        <w:rPr/>
        <w:t>入库流程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数据映射</w:t>
      </w:r>
      <w:r>
        <w:rPr/>
        <w:t>：将清洗后的数据映射到数据库表结构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数据验证</w:t>
      </w:r>
      <w:r>
        <w:rPr/>
        <w:t>：再次验证数据是否符合表结构要求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批量插入</w:t>
      </w:r>
      <w:r>
        <w:rPr/>
        <w:t>：使用批量插入提高性能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事务处理</w:t>
      </w:r>
      <w:r>
        <w:rPr/>
        <w:t>：确保数据一致性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错误处理</w:t>
      </w:r>
      <w:r>
        <w:rPr/>
        <w:t>：记录插入失败的数据和原因</w:t>
      </w:r>
    </w:p>
    <w:p>
      <w:pPr>
        <w:pStyle w:val="6"/>
        <w:jc w:val="left"/>
      </w:pPr>
      <w:r>
        <w:rPr/>
        <w:t>入库标准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数据完整性</w:t>
      </w:r>
      <w:r>
        <w:rPr/>
        <w:t>：必填字段不能为空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数据一致性</w:t>
      </w:r>
      <w:r>
        <w:rPr/>
        <w:t>：外键关联必须存在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数据准确性</w:t>
      </w:r>
      <w:r>
        <w:rPr/>
        <w:t>：数值精度符合要求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性能要求</w:t>
      </w:r>
      <w:r>
        <w:rPr/>
        <w:t>：批量插入性能满足要求</w:t>
      </w:r>
    </w:p>
    <w:p>
      <w:pPr>
        <w:pStyle w:val="5"/>
        <w:jc w:val="left"/>
      </w:pPr>
      <w:r>
        <w:rPr/>
        <w:t>4.2 非结构化数据存储</w:t>
      </w:r>
    </w:p>
    <w:p>
      <w:pPr>
        <w:pStyle w:val="6"/>
        <w:jc w:val="left"/>
      </w:pPr>
      <w:r>
        <w:rPr/>
        <w:t>对象存储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存储位置</w:t>
      </w:r>
      <w:r>
        <w:rPr/>
        <w:t>：对象存储（OSS/S3等）或文件系统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存储路径</w:t>
      </w:r>
      <w:r>
        <w:rPr/>
        <w:t>：按照目录结构规范存储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文件命名</w:t>
      </w:r>
      <w:r>
        <w:rPr/>
        <w:t>：按照文件命名规范命名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元数据记录</w:t>
      </w:r>
      <w:r>
        <w:rPr/>
        <w:t>：在数据库中记录存储URI和元数据</w:t>
      </w:r>
    </w:p>
    <w:p>
      <w:pPr>
        <w:pStyle w:val="6"/>
        <w:jc w:val="left"/>
      </w:pPr>
      <w:r>
        <w:rPr/>
        <w:t>图像/视频处理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格式转换</w:t>
      </w:r>
      <w:r>
        <w:rPr/>
        <w:t>：统一转换为标准格式（如：JPG, MP4）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压缩处理</w:t>
      </w:r>
      <w:r>
        <w:rPr/>
        <w:t>：适当压缩以减少存储空间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缩略图生成</w:t>
      </w:r>
      <w:r>
        <w:rPr/>
        <w:t>：生成缩略图便于预览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元数据提取</w:t>
      </w:r>
      <w:r>
        <w:rPr/>
        <w:t>：提取EXIF等元数据信息</w:t>
      </w:r>
    </w:p>
    <w:p>
      <w:pPr>
        <w:pStyle w:val="5"/>
        <w:jc w:val="left"/>
      </w:pPr>
      <w:r>
        <w:rPr/>
        <w:t>4.3 数据版本化</w:t>
      </w:r>
    </w:p>
    <w:p>
      <w:pPr>
        <w:pStyle w:val="6"/>
        <w:jc w:val="left"/>
      </w:pPr>
      <w:r>
        <w:rPr/>
        <w:t>版本号管理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数据版本号</w:t>
      </w:r>
      <w:r>
        <w:rPr/>
        <w:t>：每次处理生成新的版本号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版本格式</w:t>
      </w:r>
      <w:r>
        <w:rPr/>
        <w:t>：</w:t>
      </w:r>
      <w:r>
        <w:rPr>
          <w:rStyle w:val="13"/>
        </w:rPr>
        <w:t>v{主版本}.{次版本}.{修订版本}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版本记录</w:t>
      </w:r>
      <w:r>
        <w:rPr/>
        <w:t>：在数据库中记录版本信息</w:t>
      </w:r>
    </w:p>
    <w:p>
      <w:pPr>
        <w:pStyle w:val="6"/>
        <w:jc w:val="left"/>
      </w:pPr>
      <w:r>
        <w:rPr/>
        <w:t>处理流水号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pipeline_run_id</w:t>
      </w:r>
      <w:r>
        <w:rPr/>
        <w:t>：每次处理管道的唯一标识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用途</w:t>
      </w:r>
      <w:r>
        <w:rPr/>
        <w:t>：追踪数据处理过程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记录内容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处理开始时间</w:t>
      </w:r>
    </w:p>
    <w:p>
      <w:pPr>
        <w:numPr>
          <w:ilvl w:val="1"/>
          <w:numId w:val="2"/>
        </w:numPr>
        <w:jc w:val="left"/>
      </w:pPr>
      <w:r>
        <w:rPr/>
        <w:t>处理结束时间</w:t>
      </w:r>
    </w:p>
    <w:p>
      <w:pPr>
        <w:numPr>
          <w:ilvl w:val="1"/>
          <w:numId w:val="2"/>
        </w:numPr>
        <w:jc w:val="left"/>
      </w:pPr>
      <w:r>
        <w:rPr/>
        <w:t>处理数据量</w:t>
      </w:r>
    </w:p>
    <w:p>
      <w:pPr>
        <w:numPr>
          <w:ilvl w:val="1"/>
          <w:numId w:val="2"/>
        </w:numPr>
        <w:jc w:val="left"/>
      </w:pPr>
      <w:r>
        <w:rPr/>
        <w:t>处理结果（成功/失败）</w:t>
      </w:r>
    </w:p>
    <w:p>
      <w:pPr>
        <w:numPr>
          <w:ilvl w:val="1"/>
          <w:numId w:val="2"/>
        </w:numPr>
        <w:jc w:val="left"/>
      </w:pPr>
      <w:r>
        <w:rPr/>
        <w:t>错误信息（如有）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5. 图像数据处理</w:t>
      </w:r>
    </w:p>
    <w:p>
      <w:pPr>
        <w:pStyle w:val="5"/>
        <w:jc w:val="left"/>
      </w:pPr>
      <w:r>
        <w:rPr/>
        <w:t>5.1 算法推理</w:t>
      </w:r>
    </w:p>
    <w:p>
      <w:pPr>
        <w:pStyle w:val="6"/>
        <w:jc w:val="left"/>
      </w:pPr>
      <w:r>
        <w:rPr/>
        <w:t>检测目标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数量检测</w:t>
      </w:r>
      <w:r>
        <w:rPr/>
        <w:t>：检测图像中的虾数量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尺寸检测</w:t>
      </w:r>
      <w:r>
        <w:rPr/>
        <w:t>：检测虾的平均长度和高度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体重估计</w:t>
      </w:r>
      <w:r>
        <w:rPr/>
        <w:t>：基于尺寸估计体重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饲料检测</w:t>
      </w:r>
      <w:r>
        <w:rPr/>
        <w:t>：检测是否存在饲料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虾皮检测</w:t>
      </w:r>
      <w:r>
        <w:rPr/>
        <w:t>：检测是否存在虾皮</w:t>
      </w:r>
    </w:p>
    <w:p>
      <w:pPr>
        <w:pStyle w:val="6"/>
        <w:jc w:val="left"/>
      </w:pPr>
      <w:r>
        <w:rPr/>
        <w:t>推理流程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图像预处理</w:t>
      </w:r>
    </w:p>
    <w:p>
      <w:pPr>
        <w:numPr>
          <w:ilvl w:val="1"/>
          <w:numId w:val="2"/>
        </w:numPr>
        <w:jc w:val="left"/>
      </w:pPr>
      <w:r>
        <w:rPr/>
        <w:t>图像格式转换</w:t>
      </w:r>
    </w:p>
    <w:p>
      <w:pPr>
        <w:numPr>
          <w:ilvl w:val="1"/>
          <w:numId w:val="2"/>
        </w:numPr>
        <w:jc w:val="left"/>
      </w:pPr>
      <w:r>
        <w:rPr/>
        <w:t>图像尺寸调整</w:t>
      </w:r>
    </w:p>
    <w:p>
      <w:pPr>
        <w:numPr>
          <w:ilvl w:val="1"/>
          <w:numId w:val="2"/>
        </w:numPr>
        <w:jc w:val="left"/>
      </w:pPr>
      <w:r>
        <w:rPr/>
        <w:t>图像增强（可选）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模型推理</w:t>
      </w:r>
    </w:p>
    <w:p>
      <w:pPr>
        <w:numPr>
          <w:ilvl w:val="1"/>
          <w:numId w:val="2"/>
        </w:numPr>
        <w:jc w:val="left"/>
      </w:pPr>
      <w:r>
        <w:rPr/>
        <w:t>调用AI模型进行推理</w:t>
      </w:r>
    </w:p>
    <w:p>
      <w:pPr>
        <w:numPr>
          <w:ilvl w:val="1"/>
          <w:numId w:val="2"/>
        </w:numPr>
        <w:jc w:val="left"/>
      </w:pPr>
      <w:r>
        <w:rPr/>
        <w:t>获取检测结果和置信度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结果后处理</w:t>
      </w:r>
    </w:p>
    <w:p>
      <w:pPr>
        <w:numPr>
          <w:ilvl w:val="1"/>
          <w:numId w:val="2"/>
        </w:numPr>
        <w:jc w:val="left"/>
      </w:pPr>
      <w:r>
        <w:rPr/>
        <w:t>结果格式标准化</w:t>
      </w:r>
    </w:p>
    <w:p>
      <w:pPr>
        <w:numPr>
          <w:ilvl w:val="1"/>
          <w:numId w:val="2"/>
        </w:numPr>
        <w:jc w:val="left"/>
      </w:pPr>
      <w:r>
        <w:rPr/>
        <w:t>置信度阈值过滤</w:t>
      </w:r>
    </w:p>
    <w:p>
      <w:pPr>
        <w:numPr>
          <w:ilvl w:val="1"/>
          <w:numId w:val="2"/>
        </w:numPr>
        <w:jc w:val="left"/>
      </w:pPr>
      <w:r>
        <w:rPr/>
        <w:t>异常结果标记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结果存储</w:t>
      </w:r>
    </w:p>
    <w:p>
      <w:pPr>
        <w:numPr>
          <w:ilvl w:val="1"/>
          <w:numId w:val="2"/>
        </w:numPr>
        <w:jc w:val="left"/>
      </w:pPr>
      <w:r>
        <w:rPr/>
        <w:t xml:space="preserve">检测结果写入 </w:t>
      </w:r>
      <w:r>
        <w:rPr>
          <w:rStyle w:val="13"/>
        </w:rPr>
        <w:t>image_detections</w:t>
      </w:r>
      <w:r>
        <w:rPr/>
        <w:t xml:space="preserve"> 表</w:t>
      </w:r>
    </w:p>
    <w:p>
      <w:pPr>
        <w:numPr>
          <w:ilvl w:val="1"/>
          <w:numId w:val="2"/>
        </w:numPr>
        <w:jc w:val="left"/>
      </w:pPr>
      <w:r>
        <w:rPr/>
        <w:t xml:space="preserve">关联 </w:t>
      </w:r>
      <w:r>
        <w:rPr>
          <w:rStyle w:val="13"/>
        </w:rPr>
        <w:t>image_frames</w:t>
      </w:r>
      <w:r>
        <w:rPr/>
        <w:t xml:space="preserve"> 表</w:t>
      </w:r>
    </w:p>
    <w:p>
      <w:pPr>
        <w:pStyle w:val="6"/>
        <w:jc w:val="left"/>
      </w:pPr>
      <w:r>
        <w:rPr/>
        <w:t>质量评分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置信度评分</w:t>
      </w:r>
      <w:r>
        <w:rPr/>
        <w:t>：基于模型输出的置信度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完整性评分</w:t>
      </w:r>
      <w:r>
        <w:rPr/>
        <w:t>：基于检测结果的完整性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一致性评分</w:t>
      </w:r>
      <w:r>
        <w:rPr/>
        <w:t>：基于历史数据的一致性（可选）</w:t>
      </w:r>
    </w:p>
    <w:p>
      <w:pPr>
        <w:pStyle w:val="5"/>
        <w:jc w:val="left"/>
      </w:pPr>
      <w:r>
        <w:rPr/>
        <w:t>5.2 标注审核</w:t>
      </w:r>
    </w:p>
    <w:p>
      <w:pPr>
        <w:pStyle w:val="6"/>
        <w:jc w:val="left"/>
      </w:pPr>
      <w:r>
        <w:rPr/>
        <w:t>自动标注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流程</w:t>
      </w:r>
      <w:r>
        <w:rPr/>
        <w:t>：算法推理 → 自动生成标注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质量要求</w:t>
      </w:r>
      <w:r>
        <w:rPr/>
        <w:t>：置信度 ≥ 0.6（可配置）</w:t>
      </w:r>
    </w:p>
    <w:p>
      <w:pPr>
        <w:pStyle w:val="6"/>
        <w:jc w:val="left"/>
      </w:pPr>
      <w:r>
        <w:rPr/>
        <w:t>人工抽检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抽检比例</w:t>
      </w:r>
      <w:r>
        <w:rPr/>
        <w:t>：5%（可配置）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抽检方式</w:t>
      </w:r>
      <w:r>
        <w:rPr/>
        <w:t>：随机抽样或基于置信度抽样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审核内容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数量准确性</w:t>
      </w:r>
    </w:p>
    <w:p>
      <w:pPr>
        <w:numPr>
          <w:ilvl w:val="1"/>
          <w:numId w:val="2"/>
        </w:numPr>
        <w:jc w:val="left"/>
      </w:pPr>
      <w:r>
        <w:rPr/>
        <w:t>尺寸准确性</w:t>
      </w:r>
    </w:p>
    <w:p>
      <w:pPr>
        <w:numPr>
          <w:ilvl w:val="1"/>
          <w:numId w:val="2"/>
        </w:numPr>
        <w:jc w:val="left"/>
      </w:pPr>
      <w:r>
        <w:rPr/>
        <w:t>体重估计合理性</w:t>
      </w:r>
    </w:p>
    <w:p>
      <w:pPr>
        <w:numPr>
          <w:ilvl w:val="1"/>
          <w:numId w:val="2"/>
        </w:numPr>
        <w:jc w:val="left"/>
      </w:pPr>
      <w:r>
        <w:rPr/>
        <w:t>饲料/虾皮检测准确性</w:t>
      </w:r>
    </w:p>
    <w:p>
      <w:pPr>
        <w:pStyle w:val="6"/>
        <w:jc w:val="left"/>
      </w:pPr>
      <w:r>
        <w:rPr/>
        <w:t>纠偏机制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错误标注修正</w:t>
      </w:r>
      <w:r>
        <w:rPr/>
        <w:t>：人工审核发现错误时修正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模型反馈</w:t>
      </w:r>
      <w:r>
        <w:rPr/>
        <w:t>：将修正结果反馈给模型训练（可选）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质量评估</w:t>
      </w:r>
      <w:r>
        <w:rPr/>
        <w:t>：计算自动标注与人工标注的一致度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6. 处理管道生命周期</w:t>
      </w:r>
    </w:p>
    <w:p>
      <w:pPr>
        <w:pStyle w:val="5"/>
        <w:jc w:val="left"/>
      </w:pPr>
      <w:r>
        <w:rPr/>
        <w:t>6.1 任务编排</w:t>
      </w:r>
    </w:p>
    <w:p>
      <w:pPr>
        <w:pStyle w:val="6"/>
        <w:jc w:val="left"/>
      </w:pPr>
      <w:r>
        <w:rPr/>
        <w:t>定时触发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传感器数据</w:t>
      </w:r>
      <w:r>
        <w:rPr/>
        <w:t>：按采样周期定时处理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批量数据</w:t>
      </w:r>
      <w:r>
        <w:rPr/>
        <w:t>：按计划时间批量处理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历史数据</w:t>
      </w:r>
      <w:r>
        <w:rPr/>
        <w:t>：一次性处理或分批处理</w:t>
      </w:r>
    </w:p>
    <w:p>
      <w:pPr>
        <w:pStyle w:val="6"/>
        <w:jc w:val="left"/>
      </w:pPr>
      <w:r>
        <w:rPr/>
        <w:t>事件触发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图像上传</w:t>
      </w:r>
      <w:r>
        <w:rPr/>
        <w:t>：用户上传图像后立即处理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喂食记录</w:t>
      </w:r>
      <w:r>
        <w:rPr/>
        <w:t>：喂食机记录后立即处理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操作日志</w:t>
      </w:r>
      <w:r>
        <w:rPr/>
        <w:t>：操作录入后立即处理</w:t>
      </w:r>
    </w:p>
    <w:p>
      <w:pPr>
        <w:pStyle w:val="5"/>
        <w:jc w:val="left"/>
      </w:pPr>
      <w:r>
        <w:rPr/>
        <w:t>6.2 失败重试</w:t>
      </w:r>
    </w:p>
    <w:p>
      <w:pPr>
        <w:pStyle w:val="6"/>
        <w:jc w:val="left"/>
      </w:pPr>
      <w:r>
        <w:rPr/>
        <w:t>重试策略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重试次数</w:t>
      </w:r>
      <w:r>
        <w:rPr/>
        <w:t>：最多重试3次（可配置）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重试间隔</w:t>
      </w:r>
      <w:r>
        <w:rPr/>
        <w:t>：指数退避（1秒、2秒、4秒）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重试条件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网络错误</w:t>
      </w:r>
    </w:p>
    <w:p>
      <w:pPr>
        <w:numPr>
          <w:ilvl w:val="1"/>
          <w:numId w:val="2"/>
        </w:numPr>
        <w:jc w:val="left"/>
      </w:pPr>
      <w:r>
        <w:rPr/>
        <w:t>临时性错误</w:t>
      </w:r>
    </w:p>
    <w:p>
      <w:pPr>
        <w:numPr>
          <w:ilvl w:val="1"/>
          <w:numId w:val="2"/>
        </w:numPr>
        <w:jc w:val="left"/>
      </w:pPr>
      <w:r>
        <w:rPr/>
        <w:t>可恢复的错误</w:t>
      </w:r>
    </w:p>
    <w:p>
      <w:pPr>
        <w:pStyle w:val="6"/>
        <w:jc w:val="left"/>
      </w:pPr>
      <w:r>
        <w:rPr/>
        <w:t>失败处理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错误记录</w:t>
      </w:r>
      <w:r>
        <w:rPr/>
        <w:t>：记录失败原因和错误信息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告警通知</w:t>
      </w:r>
      <w:r>
        <w:rPr/>
        <w:t>：连续失败时发送告警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人工介入</w:t>
      </w:r>
      <w:r>
        <w:rPr/>
        <w:t>：严重错误需要人工处理</w:t>
      </w:r>
    </w:p>
    <w:p>
      <w:pPr>
        <w:pStyle w:val="5"/>
        <w:jc w:val="left"/>
      </w:pPr>
      <w:r>
        <w:rPr/>
        <w:t>6.3 错误日志记录</w:t>
      </w:r>
    </w:p>
    <w:p>
      <w:pPr>
        <w:pStyle w:val="6"/>
        <w:jc w:val="left"/>
      </w:pPr>
      <w:r>
        <w:rPr/>
        <w:t>日志内容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处理时间</w:t>
      </w:r>
      <w:r>
        <w:rPr/>
        <w:t>：开始时间和结束时间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处理数据</w:t>
      </w:r>
      <w:r>
        <w:rPr/>
        <w:t>：数据ID、数据源、数据量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处理结果</w:t>
      </w:r>
      <w:r>
        <w:rPr/>
        <w:t>：成功/失败、错误信息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性能指标</w:t>
      </w:r>
      <w:r>
        <w:rPr/>
        <w:t>：处理耗时、吞吐量</w:t>
      </w:r>
    </w:p>
    <w:p>
      <w:pPr>
        <w:pStyle w:val="6"/>
        <w:jc w:val="left"/>
      </w:pPr>
      <w:r>
        <w:rPr/>
        <w:t>日志存储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存储位置</w:t>
      </w:r>
      <w:r>
        <w:rPr/>
        <w:t>：日志文件或日志数据库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日志级别</w:t>
      </w:r>
      <w:r>
        <w:rPr/>
        <w:t>：DEBUG、INFO、WARNING、ERROR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日志保留</w:t>
      </w:r>
      <w:r>
        <w:rPr/>
        <w:t>：保留30天（可配置）</w:t>
      </w:r>
    </w:p>
    <w:p>
      <w:pPr>
        <w:pStyle w:val="5"/>
        <w:jc w:val="left"/>
      </w:pPr>
      <w:r>
        <w:rPr/>
        <w:t>6.4 指标监控</w:t>
      </w:r>
    </w:p>
    <w:p>
      <w:pPr>
        <w:pStyle w:val="6"/>
        <w:jc w:val="left"/>
      </w:pPr>
      <w:r>
        <w:rPr/>
        <w:t>监控指标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时延</w:t>
      </w:r>
      <w:r>
        <w:rPr/>
        <w:t>：数据处理延迟时间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成功率</w:t>
      </w:r>
      <w:r>
        <w:rPr/>
        <w:t>：数据处理成功率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吞吐量</w:t>
      </w:r>
      <w:r>
        <w:rPr/>
        <w:t>：单位时间处理数据量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错误率</w:t>
      </w:r>
      <w:r>
        <w:rPr/>
        <w:t>：数据处理错误率</w:t>
      </w:r>
    </w:p>
    <w:p>
      <w:pPr>
        <w:pStyle w:val="6"/>
        <w:jc w:val="left"/>
      </w:pPr>
      <w:r>
        <w:rPr/>
        <w:t>监控告警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延迟告警</w:t>
      </w:r>
      <w:r>
        <w:rPr/>
        <w:t>：处理延迟超过阈值时告警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失败告警</w:t>
      </w:r>
      <w:r>
        <w:rPr/>
        <w:t>：失败率超过阈值时告警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性能告警</w:t>
      </w:r>
      <w:r>
        <w:rPr/>
        <w:t>：吞吐量低于阈值时告警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7. 数据质量管理</w:t>
      </w:r>
    </w:p>
    <w:p>
      <w:pPr>
        <w:pStyle w:val="5"/>
        <w:jc w:val="left"/>
      </w:pPr>
      <w:r>
        <w:rPr/>
        <w:t>7.1 核心质量指标</w:t>
      </w:r>
    </w:p>
    <w:p>
      <w:pPr>
        <w:pStyle w:val="6"/>
        <w:jc w:val="left"/>
      </w:pPr>
      <w:r>
        <w:rPr/>
        <w:t>完整性（Completeness）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定义</w:t>
      </w:r>
      <w:r>
        <w:rPr/>
        <w:t>：数据缺失比例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计算方法</w:t>
      </w:r>
      <w:r>
        <w:rPr/>
        <w:t>：</w:t>
      </w:r>
      <w:r>
        <w:rPr>
          <w:rStyle w:val="13"/>
        </w:rPr>
        <w:t>(总记录数 - 缺失记录数) / 总记录数 × 100%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目标值</w:t>
      </w:r>
      <w:r>
        <w:rPr/>
        <w:t>：≥ 95%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评估频率</w:t>
      </w:r>
      <w:r>
        <w:rPr/>
        <w:t>：每日评估</w:t>
      </w:r>
    </w:p>
    <w:p>
      <w:pPr>
        <w:pStyle w:val="6"/>
        <w:jc w:val="left"/>
      </w:pPr>
      <w:r>
        <w:rPr/>
        <w:t>一致性（Consistency）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定义</w:t>
      </w:r>
      <w:r>
        <w:rPr/>
        <w:t>：字段与单位统一程度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评估内容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字段命名一致性</w:t>
      </w:r>
    </w:p>
    <w:p>
      <w:pPr>
        <w:numPr>
          <w:ilvl w:val="1"/>
          <w:numId w:val="2"/>
        </w:numPr>
        <w:jc w:val="left"/>
      </w:pPr>
      <w:r>
        <w:rPr/>
        <w:t>单位使用一致性</w:t>
      </w:r>
    </w:p>
    <w:p>
      <w:pPr>
        <w:numPr>
          <w:ilvl w:val="1"/>
          <w:numId w:val="2"/>
        </w:numPr>
        <w:jc w:val="left"/>
      </w:pPr>
      <w:r>
        <w:rPr/>
        <w:t>数据格式一致性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目标值</w:t>
      </w:r>
      <w:r>
        <w:rPr/>
        <w:t>：100%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评估频率</w:t>
      </w:r>
      <w:r>
        <w:rPr/>
        <w:t>：每次处理时评估</w:t>
      </w:r>
    </w:p>
    <w:p>
      <w:pPr>
        <w:pStyle w:val="6"/>
        <w:jc w:val="left"/>
      </w:pPr>
      <w:r>
        <w:rPr/>
        <w:t>准确性（Accuracy）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定义</w:t>
      </w:r>
      <w:r>
        <w:rPr/>
        <w:t>：与标准或人工校验的一致度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评估方法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与标准值对比</w:t>
      </w:r>
    </w:p>
    <w:p>
      <w:pPr>
        <w:numPr>
          <w:ilvl w:val="1"/>
          <w:numId w:val="2"/>
        </w:numPr>
        <w:jc w:val="left"/>
      </w:pPr>
      <w:r>
        <w:rPr/>
        <w:t>与人工标注对比</w:t>
      </w:r>
    </w:p>
    <w:p>
      <w:pPr>
        <w:numPr>
          <w:ilvl w:val="1"/>
          <w:numId w:val="2"/>
        </w:numPr>
        <w:jc w:val="left"/>
      </w:pPr>
      <w:r>
        <w:rPr/>
        <w:t>与历史数据对比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目标值</w:t>
      </w:r>
      <w:r>
        <w:rPr/>
        <w:t>：≥ 90%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评估频率</w:t>
      </w:r>
      <w:r>
        <w:rPr/>
        <w:t>：定期评估（每周/每月）</w:t>
      </w:r>
    </w:p>
    <w:p>
      <w:pPr>
        <w:pStyle w:val="6"/>
        <w:jc w:val="left"/>
      </w:pPr>
      <w:r>
        <w:rPr/>
        <w:t>及时性（Timeliness）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定义</w:t>
      </w:r>
      <w:r>
        <w:rPr/>
        <w:t>：数据延迟时间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计算方法</w:t>
      </w:r>
      <w:r>
        <w:rPr/>
        <w:t>：</w:t>
      </w:r>
      <w:r>
        <w:rPr>
          <w:rStyle w:val="13"/>
        </w:rPr>
        <w:t>数据入库时间 - 数据产生时间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目标值</w:t>
      </w:r>
      <w:r>
        <w:rPr/>
        <w:t>：≤ 5分钟（可配置）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评估频率</w:t>
      </w:r>
      <w:r>
        <w:rPr/>
        <w:t>：实时监控</w:t>
      </w:r>
    </w:p>
    <w:p>
      <w:pPr>
        <w:pStyle w:val="6"/>
        <w:jc w:val="left"/>
      </w:pPr>
      <w:r>
        <w:rPr/>
        <w:t>可追溯性（Traceability）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定义</w:t>
      </w:r>
      <w:r>
        <w:rPr/>
        <w:t>：元数据完整度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评估内容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必填元数据是否完整</w:t>
      </w:r>
    </w:p>
    <w:p>
      <w:pPr>
        <w:numPr>
          <w:ilvl w:val="1"/>
          <w:numId w:val="2"/>
        </w:numPr>
        <w:jc w:val="left"/>
      </w:pPr>
      <w:r>
        <w:rPr/>
        <w:t>数据来源是否可追溯</w:t>
      </w:r>
    </w:p>
    <w:p>
      <w:pPr>
        <w:numPr>
          <w:ilvl w:val="1"/>
          <w:numId w:val="2"/>
        </w:numPr>
        <w:jc w:val="left"/>
      </w:pPr>
      <w:r>
        <w:rPr/>
        <w:t>处理历史是否可追溯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目标值</w:t>
      </w:r>
      <w:r>
        <w:rPr/>
        <w:t>：100%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评估频率</w:t>
      </w:r>
      <w:r>
        <w:rPr/>
        <w:t>：每次处理时评估</w:t>
      </w:r>
    </w:p>
    <w:p>
      <w:pPr>
        <w:pStyle w:val="5"/>
        <w:jc w:val="left"/>
      </w:pPr>
      <w:r>
        <w:rPr/>
        <w:t>7.2 质量规则与阈值</w:t>
      </w:r>
    </w:p>
    <w:p>
      <w:pPr>
        <w:pStyle w:val="6"/>
        <w:jc w:val="left"/>
      </w:pPr>
      <w:r>
        <w:rPr/>
        <w:t>传感器数据质量规则</w:t>
      </w:r>
    </w:p>
    <w:tbl>
      <w:tblPr>
        <w:tblStyle w:val="9"/>
        <w:tblW w:w="103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合理范围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越界处理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告警级别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溶氧（DO）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0-20 mg/L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标记异常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警告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pH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6.5-9.0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标记异常，触发告警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严重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水温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20-35 °C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标记异常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警告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盐度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10-35 ppt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标记异常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警告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氨氮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0-2 mg/L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标记异常，触发告警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严重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亚硝酸盐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0-0.5 mg/L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标记异常，触发告警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严重</w:t>
            </w:r>
          </w:p>
        </w:tc>
      </w:tr>
      <w:tr>
        <w:tblPrEx/>
        <w:trPr>
          <w:trHeight w:val="396"/>
        </w:trPr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浊度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0-50 NTU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标记异常</w:t>
            </w:r>
          </w:p>
        </w:tc>
        <w:tc>
          <w:tcPr>
            <w:tcW w:w="2595" w:type="dxa"/>
            <w:vAlign w:val="top"/>
          </w:tcPr>
          <w:p>
            <w:pPr>
              <w:jc w:val="left"/>
            </w:pPr>
            <w:r>
              <w:rPr/>
              <w:t>警告</w:t>
            </w:r>
          </w:p>
        </w:tc>
      </w:tr>
    </w:tbl>
    <w:p>
      <w:pPr>
        <w:pStyle w:val="6"/>
        <w:jc w:val="left"/>
      </w:pPr>
      <w:r>
        <w:rPr/>
        <w:t>图像检测质量规则</w:t>
      </w: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合理范围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>
                <w:b/>
                <w:bCs/>
              </w:rPr>
              <w:t>越界处理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count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≥ 0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负数标记异常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confidence_avg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≥ 0.6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低于阈值标记为低质量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avg_length_mm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10-150 mm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超出范围标记异常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avg_height_mm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2-30 mm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超出范围标记异常</w:t>
            </w:r>
          </w:p>
        </w:tc>
      </w:tr>
      <w:tr>
        <w:tblPrEx/>
        <w:trPr>
          <w:trHeight w:val="396"/>
        </w:trPr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est_weight_g_avg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0.1-50 g</w:t>
            </w:r>
          </w:p>
        </w:tc>
        <w:tc>
          <w:tcPr>
            <w:tcW w:w="3520" w:type="dxa"/>
            <w:vAlign w:val="top"/>
          </w:tcPr>
          <w:p>
            <w:pPr>
              <w:jc w:val="left"/>
            </w:pPr>
            <w:r>
              <w:rPr/>
              <w:t>超出范围标记异常</w:t>
            </w:r>
          </w:p>
        </w:tc>
      </w:tr>
    </w:tbl>
    <w:p>
      <w:pPr>
        <w:pStyle w:val="6"/>
        <w:jc w:val="left"/>
      </w:pPr>
      <w:r>
        <w:rPr/>
        <w:t>时间戳延迟规则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标准延迟</w:t>
      </w:r>
      <w:r>
        <w:rPr/>
        <w:t>：设备到入库 ≤ 5分钟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可配置延迟</w:t>
      </w:r>
      <w:r>
        <w:rPr/>
        <w:t>：根据数据源类型配置不同延迟阈值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超时处理</w:t>
      </w:r>
      <w:r>
        <w:rPr/>
        <w:t>：超过延迟阈值时标记为延迟数据</w:t>
      </w:r>
    </w:p>
    <w:p>
      <w:pPr>
        <w:pStyle w:val="5"/>
        <w:jc w:val="left"/>
      </w:pPr>
      <w:r>
        <w:rPr/>
        <w:t>7.3 抽检机制</w:t>
      </w:r>
    </w:p>
    <w:p>
      <w:pPr>
        <w:pStyle w:val="6"/>
        <w:jc w:val="left"/>
      </w:pPr>
      <w:r>
        <w:rPr/>
        <w:t>自动验收前抽检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抽检比例</w:t>
      </w:r>
      <w:r>
        <w:rPr/>
        <w:t>：10%（可配置）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抽检方式</w:t>
      </w:r>
      <w:r>
        <w:rPr/>
        <w:t>：随机抽样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抽检内容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数据完整性</w:t>
      </w:r>
    </w:p>
    <w:p>
      <w:pPr>
        <w:numPr>
          <w:ilvl w:val="1"/>
          <w:numId w:val="2"/>
        </w:numPr>
        <w:jc w:val="left"/>
      </w:pPr>
      <w:r>
        <w:rPr/>
        <w:t>数据格式正确性</w:t>
      </w:r>
    </w:p>
    <w:p>
      <w:pPr>
        <w:numPr>
          <w:ilvl w:val="1"/>
          <w:numId w:val="2"/>
        </w:numPr>
        <w:jc w:val="left"/>
      </w:pPr>
      <w:r>
        <w:rPr/>
        <w:t>数据范围合理性</w:t>
      </w:r>
    </w:p>
    <w:p>
      <w:pPr>
        <w:pStyle w:val="6"/>
        <w:jc w:val="left"/>
      </w:pPr>
      <w:r>
        <w:rPr/>
        <w:t>图像标注人工抽检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抽检比例</w:t>
      </w:r>
      <w:r>
        <w:rPr/>
        <w:t>：5%（可配置）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抽检方式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随机抽样</w:t>
      </w:r>
    </w:p>
    <w:p>
      <w:pPr>
        <w:numPr>
          <w:ilvl w:val="1"/>
          <w:numId w:val="2"/>
        </w:numPr>
        <w:jc w:val="left"/>
      </w:pPr>
      <w:r>
        <w:rPr/>
        <w:t>基于置信度抽样（低置信度优先）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抽检内容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数量准确性</w:t>
      </w:r>
    </w:p>
    <w:p>
      <w:pPr>
        <w:numPr>
          <w:ilvl w:val="1"/>
          <w:numId w:val="2"/>
        </w:numPr>
        <w:jc w:val="left"/>
      </w:pPr>
      <w:r>
        <w:rPr/>
        <w:t>尺寸准确性</w:t>
      </w:r>
    </w:p>
    <w:p>
      <w:pPr>
        <w:numPr>
          <w:ilvl w:val="1"/>
          <w:numId w:val="2"/>
        </w:numPr>
        <w:jc w:val="left"/>
      </w:pPr>
      <w:r>
        <w:rPr/>
        <w:t>体重估计合理性</w:t>
      </w:r>
    </w:p>
    <w:p>
      <w:pPr>
        <w:numPr>
          <w:ilvl w:val="1"/>
          <w:numId w:val="2"/>
        </w:numPr>
        <w:jc w:val="left"/>
      </w:pPr>
      <w:r>
        <w:rPr/>
        <w:t>饲料/虾皮检测准确性</w:t>
      </w:r>
    </w:p>
    <w:p>
      <w:pPr>
        <w:pStyle w:val="6"/>
        <w:jc w:val="left"/>
      </w:pPr>
      <w:r>
        <w:rPr/>
        <w:t>一致度计算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计算方法</w:t>
      </w:r>
      <w:r>
        <w:rPr/>
        <w:t>：</w:t>
      </w:r>
      <w:r>
        <w:rPr>
          <w:rStyle w:val="13"/>
        </w:rPr>
        <w:t>一致标注数 / 总抽检数 × 100%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目标值</w:t>
      </w:r>
      <w:r>
        <w:rPr/>
        <w:t>：≥ 85%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处理方式</w:t>
      </w:r>
      <w:r>
        <w:rPr/>
        <w:t>：低于目标值时增加抽检比例或重新训练模型</w:t>
      </w:r>
    </w:p>
    <w:p>
      <w:pPr>
        <w:pStyle w:val="5"/>
        <w:jc w:val="left"/>
      </w:pPr>
      <w:r>
        <w:rPr/>
        <w:t>7.4 问题处理流程</w:t>
      </w:r>
    </w:p>
    <w:p>
      <w:pPr>
        <w:pStyle w:val="6"/>
        <w:jc w:val="left"/>
      </w:pPr>
      <w:r>
        <w:rPr/>
        <w:t>问题识别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自动检测</w:t>
      </w:r>
      <w:r>
        <w:rPr/>
        <w:t>：系统自动检测数据质量问题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人工发现</w:t>
      </w:r>
      <w:r>
        <w:rPr/>
        <w:t>：人工审核时发现质量问题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用户反馈</w:t>
      </w:r>
      <w:r>
        <w:rPr/>
        <w:t>：用户使用数据时反馈问题</w:t>
      </w:r>
    </w:p>
    <w:p>
      <w:pPr>
        <w:pStyle w:val="6"/>
        <w:jc w:val="left"/>
      </w:pPr>
      <w:r>
        <w:rPr/>
        <w:t>问题分类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数据缺失</w:t>
      </w:r>
      <w:r>
        <w:rPr/>
        <w:t>：数据未采集或丢失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数据异常</w:t>
      </w:r>
      <w:r>
        <w:rPr/>
        <w:t>：数据超出合理范围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数据错误</w:t>
      </w:r>
      <w:r>
        <w:rPr/>
        <w:t>：数据明显错误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格式错误</w:t>
      </w:r>
      <w:r>
        <w:rPr/>
        <w:t>：数据格式不符合规范</w:t>
      </w:r>
    </w:p>
    <w:p>
      <w:pPr>
        <w:pStyle w:val="6"/>
        <w:jc w:val="left"/>
      </w:pPr>
      <w:r>
        <w:rPr/>
        <w:t>问题处理</w:t>
      </w:r>
    </w:p>
    <w:p>
      <w:pPr>
        <w:pStyle w:val="15"/>
        <w:numPr>
          <w:ilvl w:val="0"/>
          <w:numId w:val="8"/>
        </w:numPr>
        <w:jc w:val="left"/>
      </w:pPr>
      <w:r>
        <w:rPr/>
        <w:t>问题识别 → 原因分析 → 纠正措施 → 数据修复 → 复验 → 问题关闭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原因分析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设备故障</w:t>
      </w:r>
    </w:p>
    <w:p>
      <w:pPr>
        <w:numPr>
          <w:ilvl w:val="1"/>
          <w:numId w:val="2"/>
        </w:numPr>
        <w:jc w:val="left"/>
      </w:pPr>
      <w:r>
        <w:rPr/>
        <w:t>网络问题</w:t>
      </w:r>
    </w:p>
    <w:p>
      <w:pPr>
        <w:numPr>
          <w:ilvl w:val="1"/>
          <w:numId w:val="2"/>
        </w:numPr>
        <w:jc w:val="left"/>
      </w:pPr>
      <w:r>
        <w:rPr/>
        <w:t>人工错误</w:t>
      </w:r>
    </w:p>
    <w:p>
      <w:pPr>
        <w:numPr>
          <w:ilvl w:val="1"/>
          <w:numId w:val="2"/>
        </w:numPr>
        <w:jc w:val="left"/>
      </w:pPr>
      <w:r>
        <w:rPr/>
        <w:t>系统错误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纠正措施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修复设备</w:t>
      </w:r>
    </w:p>
    <w:p>
      <w:pPr>
        <w:numPr>
          <w:ilvl w:val="1"/>
          <w:numId w:val="2"/>
        </w:numPr>
        <w:jc w:val="left"/>
      </w:pPr>
      <w:r>
        <w:rPr/>
        <w:t>修复网络</w:t>
      </w:r>
    </w:p>
    <w:p>
      <w:pPr>
        <w:numPr>
          <w:ilvl w:val="1"/>
          <w:numId w:val="2"/>
        </w:numPr>
        <w:jc w:val="left"/>
      </w:pPr>
      <w:r>
        <w:rPr/>
        <w:t>修正人工错误</w:t>
      </w:r>
    </w:p>
    <w:p>
      <w:pPr>
        <w:numPr>
          <w:ilvl w:val="1"/>
          <w:numId w:val="2"/>
        </w:numPr>
        <w:jc w:val="left"/>
      </w:pPr>
      <w:r>
        <w:rPr/>
        <w:t>修复系统bug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数据修复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补传数据</w:t>
      </w:r>
    </w:p>
    <w:p>
      <w:pPr>
        <w:numPr>
          <w:ilvl w:val="1"/>
          <w:numId w:val="2"/>
        </w:numPr>
        <w:jc w:val="left"/>
      </w:pPr>
      <w:r>
        <w:rPr/>
        <w:t>修正错误数据</w:t>
      </w:r>
    </w:p>
    <w:p>
      <w:pPr>
        <w:numPr>
          <w:ilvl w:val="1"/>
          <w:numId w:val="2"/>
        </w:numPr>
        <w:jc w:val="left"/>
      </w:pPr>
      <w:r>
        <w:rPr/>
        <w:t>删除无效数据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复验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验证修复后的数据质量</w:t>
      </w:r>
    </w:p>
    <w:p>
      <w:pPr>
        <w:numPr>
          <w:ilvl w:val="1"/>
          <w:numId w:val="2"/>
        </w:numPr>
        <w:jc w:val="left"/>
      </w:pPr>
      <w:r>
        <w:rPr/>
        <w:t>确认问题已解决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8. 数据库设计标准</w:t>
      </w:r>
    </w:p>
    <w:p>
      <w:pPr>
        <w:pStyle w:val="5"/>
        <w:jc w:val="left"/>
      </w:pPr>
      <w:r>
        <w:rPr/>
        <w:t>8.1 命名规范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表名</w:t>
      </w:r>
      <w:r>
        <w:rPr/>
        <w:t>：小写+下划线，如：</w:t>
      </w:r>
      <w:r>
        <w:rPr>
          <w:rStyle w:val="13"/>
        </w:rPr>
        <w:t>sensor_readings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字段名</w:t>
      </w:r>
      <w:r>
        <w:rPr/>
        <w:t>：小写+下划线，如：</w:t>
      </w:r>
      <w:r>
        <w:rPr>
          <w:rStyle w:val="13"/>
        </w:rPr>
        <w:t>device_id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索引名</w:t>
      </w:r>
      <w:r>
        <w:rPr/>
        <w:t>：</w:t>
      </w:r>
      <w:r>
        <w:rPr>
          <w:rStyle w:val="13"/>
        </w:rPr>
        <w:t>idx_{表名缩写}_{字段名}</w:t>
      </w:r>
      <w:r>
        <w:rPr/>
        <w:t>，如：</w:t>
      </w:r>
      <w:r>
        <w:rPr>
          <w:rStyle w:val="13"/>
        </w:rPr>
        <w:t>idx_sr_device_ts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外键名</w:t>
      </w:r>
      <w:r>
        <w:rPr/>
        <w:t>：</w:t>
      </w:r>
      <w:r>
        <w:rPr>
          <w:rStyle w:val="13"/>
        </w:rPr>
        <w:t>fk_{表名缩写}_{关联表名缩写}</w:t>
      </w:r>
      <w:r>
        <w:rPr/>
        <w:t>，如：</w:t>
      </w:r>
      <w:r>
        <w:rPr>
          <w:rStyle w:val="13"/>
        </w:rPr>
        <w:t>fk_sr_device</w:t>
      </w:r>
    </w:p>
    <w:p>
      <w:pPr>
        <w:pStyle w:val="5"/>
        <w:jc w:val="left"/>
      </w:pPr>
      <w:r>
        <w:rPr/>
        <w:t>8.2 数据类型标准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主键</w:t>
      </w:r>
      <w:r>
        <w:rPr/>
        <w:t>：</w:t>
      </w:r>
      <w:r>
        <w:rPr>
          <w:rStyle w:val="13"/>
        </w:rPr>
        <w:t>BIGINT UNSIGNED AUTO_INCREMENT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外键</w:t>
      </w:r>
      <w:r>
        <w:rPr/>
        <w:t>：</w:t>
      </w:r>
      <w:r>
        <w:rPr>
          <w:rStyle w:val="13"/>
        </w:rPr>
        <w:t>BIGINT UNSIGNED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时间类型</w:t>
      </w:r>
      <w:r>
        <w:rPr/>
        <w:t>：</w:t>
      </w:r>
      <w:r>
        <w:rPr>
          <w:rStyle w:val="13"/>
        </w:rPr>
        <w:t>DATETIME(3)</w:t>
      </w:r>
      <w:r>
        <w:rPr/>
        <w:t>（毫秒精度）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布尔类型</w:t>
      </w:r>
      <w:r>
        <w:rPr/>
        <w:t>：</w:t>
      </w:r>
      <w:r>
        <w:rPr>
          <w:rStyle w:val="13"/>
        </w:rPr>
        <w:t>TINYINT(1)</w:t>
      </w:r>
      <w:r>
        <w:rPr/>
        <w:t>（0/1）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文本类型</w:t>
      </w:r>
      <w:r>
        <w:rPr/>
        <w:t>：</w:t>
      </w:r>
      <w:r>
        <w:rPr>
          <w:rStyle w:val="13"/>
        </w:rPr>
        <w:t>VARCHAR(n)</w:t>
      </w:r>
      <w:r>
        <w:rPr/>
        <w:t xml:space="preserve"> 或 </w:t>
      </w:r>
      <w:r>
        <w:rPr>
          <w:rStyle w:val="13"/>
        </w:rPr>
        <w:t>TEXT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数值类型</w:t>
      </w:r>
      <w:r>
        <w:rPr/>
        <w:t>：</w:t>
      </w:r>
      <w:r>
        <w:rPr>
          <w:rStyle w:val="13"/>
        </w:rPr>
        <w:t>DOUBLE</w:t>
      </w:r>
      <w:r>
        <w:rPr/>
        <w:t xml:space="preserve"> 或 </w:t>
      </w:r>
      <w:r>
        <w:rPr>
          <w:rStyle w:val="13"/>
        </w:rPr>
        <w:t>DECIMAL(p,s)</w:t>
      </w:r>
    </w:p>
    <w:p>
      <w:pPr>
        <w:pStyle w:val="5"/>
        <w:jc w:val="left"/>
      </w:pPr>
      <w:r>
        <w:rPr/>
        <w:t>8.3 约束标准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NOT NULL</w:t>
      </w:r>
      <w:r>
        <w:rPr/>
        <w:t>：必填字段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DEFAULT</w:t>
      </w:r>
      <w:r>
        <w:rPr/>
        <w:t>：设置默认值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ENUM</w:t>
      </w:r>
      <w:r>
        <w:rPr/>
        <w:t>：限定取值范围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FOREIGN KEY</w:t>
      </w:r>
      <w:r>
        <w:rPr/>
        <w:t>：外键约束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UNIQUE</w:t>
      </w:r>
      <w:r>
        <w:rPr/>
        <w:t>：唯一性约束（如需要）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CHECK</w:t>
      </w:r>
      <w:r>
        <w:rPr/>
        <w:t>：检查约束（MySQL 8.0.16+）</w:t>
      </w:r>
    </w:p>
    <w:p>
      <w:pPr>
        <w:pStyle w:val="5"/>
        <w:jc w:val="left"/>
      </w:pPr>
      <w:r>
        <w:rPr/>
        <w:t>8.4 索引标准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主键索引</w:t>
      </w:r>
      <w:r>
        <w:rPr/>
        <w:t>：自动创建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外键索引</w:t>
      </w:r>
      <w:r>
        <w:rPr/>
        <w:t>：自动创建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时间索引</w:t>
      </w:r>
      <w:r>
        <w:rPr/>
        <w:t xml:space="preserve">：基于 </w:t>
      </w:r>
      <w:r>
        <w:rPr>
          <w:rStyle w:val="13"/>
        </w:rPr>
        <w:t>ts_utc</w:t>
      </w:r>
      <w:r>
        <w:rPr/>
        <w:t xml:space="preserve"> 的索引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批次索引</w:t>
      </w:r>
      <w:r>
        <w:rPr/>
        <w:t xml:space="preserve">：基于 </w:t>
      </w:r>
      <w:r>
        <w:rPr>
          <w:rStyle w:val="13"/>
        </w:rPr>
        <w:t>batch_id</w:t>
      </w:r>
      <w:r>
        <w:rPr/>
        <w:t xml:space="preserve"> 的索引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联合索引</w:t>
      </w:r>
      <w:r>
        <w:rPr/>
        <w:t>：基于查询模式的联合索引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9. 附录</w:t>
      </w:r>
    </w:p>
    <w:p>
      <w:pPr>
        <w:pStyle w:val="5"/>
        <w:jc w:val="left"/>
      </w:pPr>
      <w:r>
        <w:rPr/>
        <w:t>9.1 数据处理流程图</w:t>
      </w:r>
    </w:p>
    <w:p>
      <w:pPr>
        <w:pStyle w:val="15"/>
        <w:numPr>
          <w:ilvl w:val="0"/>
          <w:numId w:val="10"/>
        </w:numPr>
        <w:jc w:val="left"/>
      </w:pPr>
      <w:r>
        <w:rPr/>
        <w:t>原始数据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↓</w:t>
      </w:r>
    </w:p>
    <w:p>
      <w:pPr>
        <w:pStyle w:val="15"/>
        <w:numPr>
          <w:ilvl w:val="0"/>
          <w:numId w:val="10"/>
        </w:numPr>
        <w:jc w:val="left"/>
      </w:pPr>
      <w:r>
        <w:rPr/>
        <w:t>[接收校验]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↓</w:t>
      </w:r>
    </w:p>
    <w:p>
      <w:pPr>
        <w:pStyle w:val="15"/>
        <w:numPr>
          <w:ilvl w:val="0"/>
          <w:numId w:val="10"/>
        </w:numPr>
        <w:jc w:val="left"/>
      </w:pPr>
      <w:r>
        <w:rPr/>
        <w:t>[时间标准化]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↓</w:t>
      </w:r>
    </w:p>
    <w:p>
      <w:pPr>
        <w:pStyle w:val="15"/>
        <w:numPr>
          <w:ilvl w:val="0"/>
          <w:numId w:val="10"/>
        </w:numPr>
        <w:jc w:val="left"/>
      </w:pPr>
      <w:r>
        <w:rPr/>
        <w:t>[单位换算]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↓</w:t>
      </w:r>
    </w:p>
    <w:p>
      <w:pPr>
        <w:pStyle w:val="15"/>
        <w:numPr>
          <w:ilvl w:val="0"/>
          <w:numId w:val="10"/>
        </w:numPr>
        <w:jc w:val="left"/>
      </w:pPr>
      <w:r>
        <w:rPr/>
        <w:t>[缺失值处理]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↓</w:t>
      </w:r>
    </w:p>
    <w:p>
      <w:pPr>
        <w:pStyle w:val="15"/>
        <w:numPr>
          <w:ilvl w:val="0"/>
          <w:numId w:val="10"/>
        </w:numPr>
        <w:jc w:val="left"/>
      </w:pPr>
      <w:r>
        <w:rPr/>
        <w:t>[异常值处理]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↓</w:t>
      </w:r>
    </w:p>
    <w:p>
      <w:pPr>
        <w:pStyle w:val="15"/>
        <w:numPr>
          <w:ilvl w:val="0"/>
          <w:numId w:val="10"/>
        </w:numPr>
        <w:jc w:val="left"/>
      </w:pPr>
      <w:r>
        <w:rPr/>
        <w:t>[数据转换]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↓</w:t>
      </w:r>
    </w:p>
    <w:p>
      <w:pPr>
        <w:pStyle w:val="15"/>
        <w:numPr>
          <w:ilvl w:val="0"/>
          <w:numId w:val="10"/>
        </w:numPr>
        <w:jc w:val="left"/>
      </w:pPr>
      <w:r>
        <w:rPr/>
        <w:t>[数据入库]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↓</w:t>
      </w:r>
    </w:p>
    <w:p>
      <w:pPr>
        <w:pStyle w:val="15"/>
        <w:numPr>
          <w:ilvl w:val="0"/>
          <w:numId w:val="10"/>
        </w:numPr>
        <w:jc w:val="left"/>
      </w:pPr>
      <w:r>
        <w:rPr/>
        <w:t>[质量检查]</w:t>
      </w:r>
    </w:p>
    <w:p>
      <w:pPr>
        <w:pStyle w:val="15"/>
        <w:numPr>
          <w:ilvl w:val="0"/>
          <w:numId w:val="10"/>
        </w:numPr>
        <w:jc w:val="left"/>
      </w:pPr>
      <w:r>
        <w:rPr/>
        <w:t xml:space="preserve">    ↓</w:t>
      </w:r>
    </w:p>
    <w:p>
      <w:pPr>
        <w:pStyle w:val="15"/>
        <w:numPr>
          <w:ilvl w:val="0"/>
          <w:numId w:val="10"/>
        </w:numPr>
        <w:jc w:val="left"/>
      </w:pPr>
      <w:r>
        <w:rPr/>
        <w:t>处理完成</w:t>
      </w:r>
    </w:p>
    <w:p>
      <w:pPr>
        <w:pStyle w:val="5"/>
        <w:jc w:val="left"/>
      </w:pPr>
      <w:r>
        <w:rPr/>
        <w:t>9.2 质量指标计算公式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完整性</w:t>
      </w:r>
      <w:r>
        <w:rPr/>
        <w:t xml:space="preserve"> = (总记录数 - 缺失记录数) / 总记录数 × 100%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准确性</w:t>
      </w:r>
      <w:r>
        <w:rPr/>
        <w:t xml:space="preserve"> = 正确记录数 / 总记录数 × 100%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及时性</w:t>
      </w:r>
      <w:r>
        <w:rPr/>
        <w:t xml:space="preserve"> = 数据入库时间 - 数据产生时间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一致度</w:t>
      </w:r>
      <w:r>
        <w:rPr/>
        <w:t xml:space="preserve"> = 一致标注数 / 总抽检数 × 100%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jc w:val="left"/>
      </w:pPr>
      <w:r>
        <w:rPr>
          <w:b/>
          <w:bCs/>
        </w:rPr>
        <w:t>文档状态</w:t>
      </w:r>
      <w:r>
        <w:rPr/>
        <w:t>：待确认</w:t>
      </w:r>
    </w:p>
    <w:p>
      <w:pPr>
        <w:jc w:val="left"/>
      </w:pPr>
      <w:r>
        <w:rPr>
          <w:b/>
          <w:bCs/>
        </w:rPr>
        <w:t>最后更新</w:t>
      </w:r>
      <w:r>
        <w:rPr/>
        <w:t>：2025.11.18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4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9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9"/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2025-11-26T15:28:24Z</dcterms:created>
  <dcterms:modified xsi:type="dcterms:W3CDTF">2025-11-26T15:28:24Z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