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1.1</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1.1</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Twelve epics, sixty stories, delivered from the walking skeleton through the security and optimisation pass most recently completed. Grouped by theme, not by sprint number — the sprint each story shipped in is named alongside it.</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pStyle w:val="Caption2"/>
      </w:pPr>
      <w:r>
        <w:t>Size: M   |   Depends on: BL-5.1, BL-2.1   |   ADR-036</w:t>
      </w:r>
    </w:p>
    <w:p>
      <w:pPr>
        <w:pStyle w:val="Heading2"/>
      </w:pPr>
      <w:r>
        <w:t>Epic B6 — Skill Graph and Career Paths</w:t>
      </w:r>
    </w:p>
    <w:p>
      <w:r>
        <w:rPr>
          <w:b w:val="0"/>
          <w:i/>
          <w:color w:val="6B747C"/>
        </w:rPr>
        <w:t>“Most of the long-term value” per the product definition's own framing. BL-6.1's foundation shipped in Sprint 36; BL-6.2/BL-6.3 remain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pStyle w:val="Caption2"/>
      </w:pPr>
      <w:r>
        <w:t>Size: M   |   Depends on: BL-6.1   |   scope-reconciliation.md #7</w:t>
      </w:r>
    </w:p>
    <w:p>
      <w:pPr>
        <w:spacing w:before="160" w:after="40"/>
      </w:pPr>
      <w:r>
        <w:rPr>
          <w:rStyle w:val="ReqID"/>
        </w:rPr>
        <w:t xml:space="preserve">BL-6.3  </w:t>
      </w:r>
      <w:r>
        <w:rPr>
          <w:b/>
          <w:color w:val="3C4752"/>
        </w:rPr>
        <w:t xml:space="preserve">[LATER]  </w:t>
      </w:r>
      <w:r>
        <w:t>career_paths/: a graph-based role-transition recommendation engine (ADR-008).</w:t>
      </w:r>
    </w:p>
    <w:p>
      <w:pPr>
        <w:pStyle w:val="BRHead"/>
      </w:pPr>
      <w:r>
        <w:t>Acceptance Criteria</w:t>
      </w:r>
    </w:p>
    <w:p>
      <w:pPr>
        <w:pStyle w:val="ListBullet2"/>
        <w:spacing w:before="0" w:after="40"/>
      </w:pPr>
      <w:r>
        <w:t>A new module, reserved in the architecture with no code today.</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pStyle w:val="Caption2"/>
      </w:pPr>
      <w:r>
        <w:t>Size: XL   |   Depends on: BL-6.1, BL-6.2   |   ADR-008; HLD module directory</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B02A2A"/>
        </w:rPr>
        <w:t xml:space="preserve">[NOW]  </w:t>
      </w:r>
      <w:r>
        <w:t>Single-action ownership transfer, combining promote-then-leave into one guarded action.</w:t>
      </w:r>
    </w:p>
    <w:p>
      <w:pPr>
        <w:pStyle w:val="BRHead"/>
      </w:pPr>
      <w:r>
        <w:t>Acceptance Criteria</w:t>
      </w:r>
    </w:p>
    <w:p>
      <w:pPr>
        <w:pStyle w:val="ListBullet2"/>
        <w:spacing w:before="0" w:after="40"/>
      </w:pPr>
      <w:r>
        <w:t>Both steps already exist independently; this adds one endpoint and one confirmation step, not new authority logic.</w:t>
      </w:r>
    </w:p>
    <w:p>
      <w:pPr>
        <w:pStyle w:val="Caption2"/>
      </w:pPr>
      <w:r>
        <w:t>Size: S   |   Depends on: None   |   FRS §9.1</w:t>
      </w:r>
    </w:p>
    <w:p>
      <w:pPr>
        <w:spacing w:before="160" w:after="40"/>
      </w:pPr>
      <w:r>
        <w:rPr>
          <w:rStyle w:val="ReqID"/>
        </w:rPr>
        <w:t xml:space="preserve">BL-9.2  </w:t>
      </w:r>
      <w:r>
        <w:rPr>
          <w:b/>
          <w:color w:val="B02A2A"/>
        </w:rPr>
        <w:t xml:space="preserve">[NOW]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r>
        <w:t>BL-10.1  [NOW]  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pStyle w:val="Caption2"/>
      </w:pPr>
      <w:r>
        <w:t>Size: M   |   Depends on: None   |   Product Owner instruction, 2026-09-29</w:t>
      </w:r>
    </w:p>
    <w:p>
      <w:pPr/>
      <w:r>
        <w:t>BL-10.2  [NOW]  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pStyle w:val="Caption2"/>
      </w:pPr>
      <w:r>
        <w:t>Size: M   |   Depends on: None   |   Product Owner instruction, 2026-09-29</w:t>
      </w:r>
    </w:p>
    <w:p>
      <w:pPr/>
      <w:r>
        <w:t>BL-10.3  [NOW]  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pStyle w:val="Caption2"/>
      </w:pPr>
      <w:r>
        <w:t>Size: M   |   Depends on: None — ADR-047's query already exists   |   Product Owner instruction, 2026-09-29</w:t>
      </w:r>
    </w:p>
    <w:p>
      <w:pPr/>
      <w:r>
        <w:t>BL-10.4  [NOW]  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pStyle w:val="Caption2"/>
      </w:pPr>
      <w:r>
        <w:t>Size: S   |   Depends on: None   |   Product Owner instruction, 2026-09-29</w:t>
      </w:r>
    </w:p>
    <w:p>
      <w:pPr/>
      <w:r>
        <w:t>BL-10.5  [NOW]  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pStyle w:val="Caption2"/>
      </w:pPr>
      <w:r>
        <w:t>Size: S   |   Depends on: None   |   Product Owner instruction, 2026-09-29</w:t>
      </w:r>
    </w:p>
    <w:p>
      <w:pPr/>
      <w:r>
        <w:t>BL-10.6  [LATER]  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pStyle w:val="Caption2"/>
      </w:pPr>
      <w:r>
        <w:t>Size: S   |   Depends on: None   |   Product Owner instruction, 2026-09-29</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the monetisation ADR and the payment adapter port” line has not yet been updated to match this decision — that correction should land alongside whichever sprint acts on it.</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are cheap enough to fold into whichever sprint has spare room, most naturally Order 2 above.</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