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40"/>
        <w:jc w:val="center"/>
      </w:pPr>
      <w:r>
        <w:rPr>
          <w:rFonts w:ascii="Calibri" w:hAnsi="Calibri"/>
          <w:b/>
          <w:color w:val="0F6E84"/>
          <w:sz w:val="30"/>
        </w:rPr>
        <w:t>INTELLIGENT INTEGRATED SKILL MARKETPLACE</w:t>
      </w:r>
    </w:p>
    <w:p>
      <w:pPr>
        <w:spacing w:before="0" w:after="800"/>
        <w:jc w:val="center"/>
      </w:pPr>
      <w:r>
        <w:rPr>
          <w:i/>
          <w:color w:val="6B747C"/>
          <w:sz w:val="22"/>
        </w:rPr>
        <w:t>evolving toward a Workforce Mobility OS</w:t>
      </w:r>
    </w:p>
    <w:p>
      <w:pPr>
        <w:spacing w:before="0" w:after="320"/>
        <w:jc w:val="center"/>
      </w:pPr>
      <w:r>
        <w:rPr>
          <w:rFonts w:ascii="Calibri" w:hAnsi="Calibri"/>
          <w:b/>
          <w:color w:val="0B2E4E"/>
          <w:sz w:val="60"/>
        </w:rPr>
        <w:t>Business Requirements</w:t>
        <w:br/>
        <w:t>Document</w:t>
      </w:r>
    </w:p>
    <w:p>
      <w:pPr>
        <w:spacing w:before="0" w:after="80"/>
        <w:jc w:val="center"/>
      </w:pPr>
      <w:r>
        <w:rPr>
          <w:b/>
          <w:color w:val="3C4752"/>
          <w:sz w:val="24"/>
        </w:rPr>
        <w:t>Document Version 1.0</w:t>
      </w:r>
    </w:p>
    <w:p>
      <w:pPr>
        <w:spacing w:before="0" w:after="80"/>
        <w:jc w:val="center"/>
      </w:pPr>
      <w:r>
        <w:rPr>
          <w:b w:val="0"/>
          <w:color w:val="6B747C"/>
          <w:sz w:val="22"/>
        </w:rPr>
        <w:t>Status: Draft — Circulated for Business Sign-off</w:t>
      </w:r>
    </w:p>
    <w:p>
      <w:pPr>
        <w:spacing w:before="0" w:after="80"/>
        <w:jc w:val="center"/>
      </w:pPr>
      <w:r>
        <w:rPr>
          <w:b w:val="0"/>
          <w:color w:val="6B747C"/>
          <w:sz w:val="22"/>
        </w:rPr>
        <w:t>Prepared for: Business Stakeholder Review and External Client Presentation</w:t>
      </w:r>
    </w:p>
    <w:p/>
    <w:p/>
    <w:p/>
    <w:p/>
    <w:p/>
    <w:p/>
    <w:tbl>
      <w:tblPr>
        <w:tblW w:type="auto" w:w="0"/>
        <w:jc w:val="center"/>
        <w:tblLayout w:type="fixed"/>
        <w:tblLook w:firstColumn="1" w:firstRow="1" w:lastColumn="0" w:lastRow="0" w:noHBand="0" w:noVBand="1" w:val="04A0"/>
      </w:tblPr>
      <w:tblGrid>
        <w:gridCol w:w="4706"/>
        <w:gridCol w:w="4706"/>
      </w:tblGrid>
      <w:tr>
        <w:tc>
          <w:tcPr>
            <w:tcW w:type="dxa" w:w="2448"/>
            <w:shd w:val="clear" w:color="auto" w:fill="E4F0F2"/>
            <w:tcMar>
              <w:top w:w="60" w:type="dxa"/>
              <w:bottom w:w="60" w:type="dxa"/>
              <w:left w:w="100" w:type="dxa"/>
              <w:right w:w="100" w:type="dxa"/>
            </w:tcMar>
          </w:tcPr>
          <w:p>
            <w:r/>
            <w:r>
              <w:rPr>
                <w:b/>
                <w:color w:val="0B2E4E"/>
                <w:sz w:val="19"/>
              </w:rPr>
              <w:t>Document Title</w:t>
            </w:r>
          </w:p>
        </w:tc>
        <w:tc>
          <w:tcPr>
            <w:tcW w:type="dxa" w:w="6192"/>
            <w:tcMar>
              <w:top w:w="60" w:type="dxa"/>
              <w:bottom w:w="60" w:type="dxa"/>
              <w:left w:w="100" w:type="dxa"/>
              <w:right w:w="100" w:type="dxa"/>
            </w:tcMar>
          </w:tcPr>
          <w:p>
            <w:r/>
            <w:r>
              <w:rPr>
                <w:color w:val="3C4752"/>
                <w:sz w:val="19"/>
              </w:rPr>
              <w:t>IISM Business Requirements Document (BRD)</w:t>
            </w:r>
          </w:p>
        </w:tc>
      </w:tr>
      <w:tr>
        <w:tc>
          <w:tcPr>
            <w:tcW w:type="dxa" w:w="2448"/>
            <w:shd w:val="clear" w:color="auto" w:fill="E4F0F2"/>
            <w:tcMar>
              <w:top w:w="60" w:type="dxa"/>
              <w:bottom w:w="60" w:type="dxa"/>
              <w:left w:w="100" w:type="dxa"/>
              <w:right w:w="100" w:type="dxa"/>
            </w:tcMar>
          </w:tcPr>
          <w:p>
            <w:r/>
            <w:r>
              <w:rPr>
                <w:b/>
                <w:color w:val="0B2E4E"/>
                <w:sz w:val="19"/>
              </w:rPr>
              <w:t>Version</w:t>
            </w:r>
          </w:p>
        </w:tc>
        <w:tc>
          <w:tcPr>
            <w:tcW w:type="dxa" w:w="6192"/>
            <w:tcMar>
              <w:top w:w="60" w:type="dxa"/>
              <w:bottom w:w="60" w:type="dxa"/>
              <w:left w:w="100" w:type="dxa"/>
              <w:right w:w="100" w:type="dxa"/>
            </w:tcMar>
          </w:tcPr>
          <w:p>
            <w:r/>
            <w:r>
              <w:rPr>
                <w:color w:val="3C4752"/>
                <w:sz w:val="19"/>
              </w:rPr>
              <w:t>1.0</w:t>
            </w:r>
          </w:p>
        </w:tc>
      </w:tr>
      <w:tr>
        <w:tc>
          <w:tcPr>
            <w:tcW w:type="dxa" w:w="2448"/>
            <w:shd w:val="clear" w:color="auto" w:fill="E4F0F2"/>
            <w:tcMar>
              <w:top w:w="60" w:type="dxa"/>
              <w:bottom w:w="60" w:type="dxa"/>
              <w:left w:w="100" w:type="dxa"/>
              <w:right w:w="100" w:type="dxa"/>
            </w:tcMar>
          </w:tcPr>
          <w:p>
            <w:r/>
            <w:r>
              <w:rPr>
                <w:b/>
                <w:color w:val="0B2E4E"/>
                <w:sz w:val="19"/>
              </w:rPr>
              <w:t>Prepared By</w:t>
            </w:r>
          </w:p>
        </w:tc>
        <w:tc>
          <w:tcPr>
            <w:tcW w:type="dxa" w:w="6192"/>
            <w:tcMar>
              <w:top w:w="60" w:type="dxa"/>
              <w:bottom w:w="60" w:type="dxa"/>
              <w:left w:w="100" w:type="dxa"/>
              <w:right w:w="100" w:type="dxa"/>
            </w:tcMar>
          </w:tcPr>
          <w:p>
            <w:r/>
            <w:r>
              <w:rPr>
                <w:color w:val="3C4752"/>
                <w:sz w:val="19"/>
              </w:rPr>
              <w:t>Product &amp; Engineering — IISM Programme</w:t>
            </w:r>
          </w:p>
        </w:tc>
      </w:tr>
      <w:tr>
        <w:tc>
          <w:tcPr>
            <w:tcW w:type="dxa" w:w="2448"/>
            <w:shd w:val="clear" w:color="auto" w:fill="E4F0F2"/>
            <w:tcMar>
              <w:top w:w="60" w:type="dxa"/>
              <w:bottom w:w="60" w:type="dxa"/>
              <w:left w:w="100" w:type="dxa"/>
              <w:right w:w="100" w:type="dxa"/>
            </w:tcMar>
          </w:tcPr>
          <w:p>
            <w:r/>
            <w:r>
              <w:rPr>
                <w:b/>
                <w:color w:val="0B2E4E"/>
                <w:sz w:val="19"/>
              </w:rPr>
              <w:t>Distribution</w:t>
            </w:r>
          </w:p>
        </w:tc>
        <w:tc>
          <w:tcPr>
            <w:tcW w:type="dxa" w:w="6192"/>
            <w:tcMar>
              <w:top w:w="60" w:type="dxa"/>
              <w:bottom w:w="60" w:type="dxa"/>
              <w:left w:w="100" w:type="dxa"/>
              <w:right w:w="100" w:type="dxa"/>
            </w:tcMar>
          </w:tcPr>
          <w:p>
            <w:r/>
            <w:r>
              <w:rPr>
                <w:color w:val="3C4752"/>
                <w:sz w:val="19"/>
              </w:rPr>
              <w:t>Business Sponsors, Product Owners, External Client Stakeholders</w:t>
            </w:r>
          </w:p>
        </w:tc>
      </w:tr>
      <w:tr>
        <w:tc>
          <w:tcPr>
            <w:tcW w:type="dxa" w:w="2448"/>
            <w:shd w:val="clear" w:color="auto" w:fill="E4F0F2"/>
            <w:tcMar>
              <w:top w:w="60" w:type="dxa"/>
              <w:bottom w:w="60" w:type="dxa"/>
              <w:left w:w="100" w:type="dxa"/>
              <w:right w:w="100" w:type="dxa"/>
            </w:tcMar>
          </w:tcPr>
          <w:p>
            <w:r/>
            <w:r>
              <w:rPr>
                <w:b/>
                <w:color w:val="0B2E4E"/>
                <w:sz w:val="19"/>
              </w:rPr>
              <w:t>Classification</w:t>
            </w:r>
          </w:p>
        </w:tc>
        <w:tc>
          <w:tcPr>
            <w:tcW w:type="dxa" w:w="6192"/>
            <w:tcMar>
              <w:top w:w="60" w:type="dxa"/>
              <w:bottom w:w="60" w:type="dxa"/>
              <w:left w:w="100" w:type="dxa"/>
              <w:right w:w="100" w:type="dxa"/>
            </w:tcMar>
          </w:tcPr>
          <w:p>
            <w:r/>
            <w:r>
              <w:rPr>
                <w:color w:val="3C4752"/>
                <w:sz w:val="19"/>
              </w:rPr>
              <w:t>Confidential — Not for Public Circulation</w:t>
            </w:r>
          </w:p>
        </w:tc>
      </w:tr>
      <w:tr>
        <w:tc>
          <w:tcPr>
            <w:tcW w:type="dxa" w:w="2448"/>
            <w:shd w:val="clear" w:color="auto" w:fill="E4F0F2"/>
            <w:tcMar>
              <w:top w:w="60" w:type="dxa"/>
              <w:bottom w:w="60" w:type="dxa"/>
              <w:left w:w="100" w:type="dxa"/>
              <w:right w:w="100" w:type="dxa"/>
            </w:tcMar>
          </w:tcPr>
          <w:p>
            <w:r/>
            <w:r>
              <w:rPr>
                <w:b/>
                <w:color w:val="0B2E4E"/>
                <w:sz w:val="19"/>
              </w:rPr>
              <w:t>Companion Documents</w:t>
            </w:r>
          </w:p>
        </w:tc>
        <w:tc>
          <w:tcPr>
            <w:tcW w:type="dxa" w:w="6192"/>
            <w:tcMar>
              <w:top w:w="60" w:type="dxa"/>
              <w:bottom w:w="60" w:type="dxa"/>
              <w:left w:w="100" w:type="dxa"/>
              <w:right w:w="100" w:type="dxa"/>
            </w:tcMar>
          </w:tcPr>
          <w:p>
            <w:r/>
            <w:r>
              <w:rPr>
                <w:color w:val="3C4752"/>
                <w:sz w:val="19"/>
              </w:rPr>
              <w:t>Functional Requirements Specification; Architecture Decision Record; Product Definition</w:t>
            </w:r>
          </w:p>
        </w:tc>
      </w:tr>
    </w:tbl>
    <w:p>
      <w:r>
        <w:br w:type="page"/>
      </w:r>
    </w:p>
    <w:p>
      <w:pPr>
        <w:pStyle w:val="Heading1"/>
      </w:pPr>
      <w:r>
        <w:t>Document Control</w:t>
      </w:r>
    </w:p>
    <w:p>
      <w:pPr>
        <w:pStyle w:val="Heading2"/>
      </w:pPr>
      <w:r>
        <w:t>Revision History</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1152"/>
            <w:shd w:val="clear" w:color="auto" w:fill="0B2E4E"/>
            <w:tcMar>
              <w:top w:w="60" w:type="dxa"/>
              <w:bottom w:w="60" w:type="dxa"/>
              <w:left w:w="100" w:type="dxa"/>
              <w:right w:w="100" w:type="dxa"/>
            </w:tcMar>
            <w:vAlign w:val="center"/>
          </w:tcPr>
          <w:p>
            <w:r/>
            <w:r>
              <w:rPr>
                <w:b/>
                <w:color w:val="FFFFFF"/>
                <w:sz w:val="19"/>
              </w:rPr>
              <w:t>Version</w:t>
            </w:r>
          </w:p>
        </w:tc>
        <w:tc>
          <w:tcPr>
            <w:tcW w:type="dxa" w:w="1296"/>
            <w:shd w:val="clear" w:color="auto" w:fill="0B2E4E"/>
            <w:tcMar>
              <w:top w:w="60" w:type="dxa"/>
              <w:bottom w:w="60" w:type="dxa"/>
              <w:left w:w="100" w:type="dxa"/>
              <w:right w:w="100" w:type="dxa"/>
            </w:tcMar>
            <w:vAlign w:val="center"/>
          </w:tcPr>
          <w:p>
            <w:r/>
            <w:r>
              <w:rPr>
                <w:b/>
                <w:color w:val="FFFFFF"/>
                <w:sz w:val="19"/>
              </w:rPr>
              <w:t>Date</w:t>
            </w:r>
          </w:p>
        </w:tc>
        <w:tc>
          <w:tcPr>
            <w:tcW w:type="dxa" w:w="2304"/>
            <w:shd w:val="clear" w:color="auto" w:fill="0B2E4E"/>
            <w:tcMar>
              <w:top w:w="60" w:type="dxa"/>
              <w:bottom w:w="60" w:type="dxa"/>
              <w:left w:w="100" w:type="dxa"/>
              <w:right w:w="100" w:type="dxa"/>
            </w:tcMar>
            <w:vAlign w:val="center"/>
          </w:tcPr>
          <w:p>
            <w:r/>
            <w:r>
              <w:rPr>
                <w:b/>
                <w:color w:val="FFFFFF"/>
                <w:sz w:val="19"/>
              </w:rPr>
              <w:t>Author</w:t>
            </w:r>
          </w:p>
        </w:tc>
        <w:tc>
          <w:tcPr>
            <w:tcW w:type="dxa" w:w="3888"/>
            <w:shd w:val="clear" w:color="auto" w:fill="0B2E4E"/>
            <w:tcMar>
              <w:top w:w="60" w:type="dxa"/>
              <w:bottom w:w="60" w:type="dxa"/>
              <w:left w:w="100" w:type="dxa"/>
              <w:right w:w="100" w:type="dxa"/>
            </w:tcMar>
            <w:vAlign w:val="center"/>
          </w:tcPr>
          <w:p>
            <w:r/>
            <w:r>
              <w:rPr>
                <w:b/>
                <w:color w:val="FFFFFF"/>
                <w:sz w:val="19"/>
              </w:rPr>
              <w:t>Summary of Changes</w:t>
            </w:r>
          </w:p>
        </w:tc>
      </w:tr>
      <w:tr>
        <w:tc>
          <w:tcPr>
            <w:tcW w:type="dxa" w:w="1152"/>
            <w:shd w:val="clear" w:color="auto" w:fill="F2F4F6"/>
            <w:tcMar>
              <w:top w:w="60" w:type="dxa"/>
              <w:bottom w:w="60" w:type="dxa"/>
              <w:left w:w="100" w:type="dxa"/>
              <w:right w:w="100" w:type="dxa"/>
            </w:tcMar>
          </w:tcPr>
          <w:p>
            <w:pPr>
              <w:spacing w:before="0" w:after="0"/>
            </w:pPr>
            <w:r/>
            <w:r>
              <w:rPr>
                <w:color w:val="3C4752"/>
                <w:sz w:val="19"/>
              </w:rPr>
              <w:t>0.1</w:t>
            </w:r>
          </w:p>
        </w:tc>
        <w:tc>
          <w:tcPr>
            <w:tcW w:type="dxa" w:w="1296"/>
            <w:shd w:val="clear" w:color="auto" w:fill="F2F4F6"/>
            <w:tcMar>
              <w:top w:w="60" w:type="dxa"/>
              <w:bottom w:w="60" w:type="dxa"/>
              <w:left w:w="100" w:type="dxa"/>
              <w:right w:w="100" w:type="dxa"/>
            </w:tcMar>
          </w:tcPr>
          <w:p>
            <w:pPr>
              <w:spacing w:before="0" w:after="0"/>
            </w:pPr>
            <w:r/>
            <w:r>
              <w:rPr>
                <w:color w:val="3C4752"/>
                <w:sz w:val="19"/>
              </w:rPr>
              <w:t>2026-09-24</w:t>
            </w:r>
          </w:p>
        </w:tc>
        <w:tc>
          <w:tcPr>
            <w:tcW w:type="dxa" w:w="2304"/>
            <w:shd w:val="clear" w:color="auto" w:fill="F2F4F6"/>
            <w:tcMar>
              <w:top w:w="60" w:type="dxa"/>
              <w:bottom w:w="60" w:type="dxa"/>
              <w:left w:w="100" w:type="dxa"/>
              <w:right w:w="100" w:type="dxa"/>
            </w:tcMar>
          </w:tcPr>
          <w:p>
            <w:pPr>
              <w:spacing w:before="0" w:after="0"/>
            </w:pPr>
            <w:r/>
            <w:r>
              <w:rPr>
                <w:color w:val="3C4752"/>
                <w:sz w:val="19"/>
              </w:rPr>
              <w:t>Product &amp; Engineering</w:t>
            </w:r>
          </w:p>
        </w:tc>
        <w:tc>
          <w:tcPr>
            <w:tcW w:type="dxa" w:w="3888"/>
            <w:shd w:val="clear" w:color="auto" w:fill="F2F4F6"/>
            <w:tcMar>
              <w:top w:w="60" w:type="dxa"/>
              <w:bottom w:w="60" w:type="dxa"/>
              <w:left w:w="100" w:type="dxa"/>
              <w:right w:w="100" w:type="dxa"/>
            </w:tcMar>
          </w:tcPr>
          <w:p>
            <w:pPr>
              <w:spacing w:before="0" w:after="0"/>
            </w:pPr>
            <w:r/>
            <w:r>
              <w:rPr>
                <w:color w:val="3C4752"/>
                <w:sz w:val="19"/>
              </w:rPr>
              <w:t>Initial draft compiled for business review, alongside the Functional Requirements Specification.</w:t>
            </w:r>
          </w:p>
        </w:tc>
      </w:tr>
      <w:tr>
        <w:tc>
          <w:tcPr>
            <w:tcW w:type="dxa" w:w="1152"/>
            <w:shd w:val="clear" w:color="auto" w:fill="FFFFFF"/>
            <w:tcMar>
              <w:top w:w="60" w:type="dxa"/>
              <w:bottom w:w="60" w:type="dxa"/>
              <w:left w:w="100" w:type="dxa"/>
              <w:right w:w="100" w:type="dxa"/>
            </w:tcMar>
          </w:tcPr>
          <w:p>
            <w:pPr>
              <w:spacing w:before="0" w:after="0"/>
            </w:pPr>
            <w:r/>
            <w:r>
              <w:rPr>
                <w:color w:val="3C4752"/>
                <w:sz w:val="19"/>
              </w:rPr>
              <w:t>1.0</w:t>
            </w:r>
          </w:p>
        </w:tc>
        <w:tc>
          <w:tcPr>
            <w:tcW w:type="dxa" w:w="1296"/>
            <w:shd w:val="clear" w:color="auto" w:fill="FFFFFF"/>
            <w:tcMar>
              <w:top w:w="60" w:type="dxa"/>
              <w:bottom w:w="60" w:type="dxa"/>
              <w:left w:w="100" w:type="dxa"/>
              <w:right w:w="100" w:type="dxa"/>
            </w:tcMar>
          </w:tcPr>
          <w:p>
            <w:pPr>
              <w:spacing w:before="0" w:after="0"/>
            </w:pPr>
            <w:r/>
            <w:r>
              <w:rPr>
                <w:color w:val="3C4752"/>
                <w:sz w:val="19"/>
              </w:rPr>
              <w:t>2026-09-24</w:t>
            </w:r>
          </w:p>
        </w:tc>
        <w:tc>
          <w:tcPr>
            <w:tcW w:type="dxa" w:w="2304"/>
            <w:shd w:val="clear" w:color="auto" w:fill="FFFFFF"/>
            <w:tcMar>
              <w:top w:w="60" w:type="dxa"/>
              <w:bottom w:w="60" w:type="dxa"/>
              <w:left w:w="100" w:type="dxa"/>
              <w:right w:w="100" w:type="dxa"/>
            </w:tcMar>
          </w:tcPr>
          <w:p>
            <w:pPr>
              <w:spacing w:before="0" w:after="0"/>
            </w:pPr>
            <w:r/>
            <w:r>
              <w:rPr>
                <w:color w:val="3C4752"/>
                <w:sz w:val="19"/>
              </w:rPr>
              <w:t>Product &amp; Engineering</w:t>
            </w:r>
          </w:p>
        </w:tc>
        <w:tc>
          <w:tcPr>
            <w:tcW w:type="dxa" w:w="3888"/>
            <w:shd w:val="clear" w:color="auto" w:fill="FFFFFF"/>
            <w:tcMar>
              <w:top w:w="60" w:type="dxa"/>
              <w:bottom w:w="60" w:type="dxa"/>
              <w:left w:w="100" w:type="dxa"/>
              <w:right w:w="100" w:type="dxa"/>
            </w:tcMar>
          </w:tcPr>
          <w:p>
            <w:pPr>
              <w:spacing w:before="0" w:after="0"/>
            </w:pPr>
            <w:r/>
            <w:r>
              <w:rPr>
                <w:color w:val="3C4752"/>
                <w:sz w:val="19"/>
              </w:rPr>
              <w:t>First version circulated for business sign-off and client presentation.</w:t>
            </w:r>
          </w:p>
        </w:tc>
      </w:tr>
    </w:tbl>
    <w:p>
      <w:pPr>
        <w:spacing w:after="80"/>
      </w:pPr>
    </w:p>
    <w:p>
      <w:pPr>
        <w:pStyle w:val="Heading2"/>
      </w:pPr>
      <w:r>
        <w:t>Approval</w:t>
      </w:r>
    </w:p>
    <w:p>
      <w:r>
        <w:rPr>
          <w:b w:val="0"/>
          <w:i w:val="0"/>
        </w:rPr>
        <w:t>This document requires review and sign-off from the roles below before it is treated as the agreed business baseline. It is deliberately reviewed alongside, not instead of, the Functional Requirements Specification — the two answer different questions and neither substitutes for the other.</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736"/>
            <w:shd w:val="clear" w:color="auto" w:fill="0B2E4E"/>
            <w:tcMar>
              <w:top w:w="60" w:type="dxa"/>
              <w:bottom w:w="60" w:type="dxa"/>
              <w:left w:w="100" w:type="dxa"/>
              <w:right w:w="100" w:type="dxa"/>
            </w:tcMar>
            <w:vAlign w:val="center"/>
          </w:tcPr>
          <w:p>
            <w:r/>
            <w:r>
              <w:rPr>
                <w:b/>
                <w:color w:val="FFFFFF"/>
                <w:sz w:val="19"/>
              </w:rPr>
              <w:t>Role</w:t>
            </w:r>
          </w:p>
        </w:tc>
        <w:tc>
          <w:tcPr>
            <w:tcW w:type="dxa" w:w="2160"/>
            <w:shd w:val="clear" w:color="auto" w:fill="0B2E4E"/>
            <w:tcMar>
              <w:top w:w="60" w:type="dxa"/>
              <w:bottom w:w="60" w:type="dxa"/>
              <w:left w:w="100" w:type="dxa"/>
              <w:right w:w="100" w:type="dxa"/>
            </w:tcMar>
            <w:vAlign w:val="center"/>
          </w:tcPr>
          <w:p>
            <w:r/>
            <w:r>
              <w:rPr>
                <w:b/>
                <w:color w:val="FFFFFF"/>
                <w:sz w:val="19"/>
              </w:rPr>
              <w:t>Name</w:t>
            </w:r>
          </w:p>
        </w:tc>
        <w:tc>
          <w:tcPr>
            <w:tcW w:type="dxa" w:w="2592"/>
            <w:shd w:val="clear" w:color="auto" w:fill="0B2E4E"/>
            <w:tcMar>
              <w:top w:w="60" w:type="dxa"/>
              <w:bottom w:w="60" w:type="dxa"/>
              <w:left w:w="100" w:type="dxa"/>
              <w:right w:w="100" w:type="dxa"/>
            </w:tcMar>
            <w:vAlign w:val="center"/>
          </w:tcPr>
          <w:p>
            <w:r/>
            <w:r>
              <w:rPr>
                <w:b/>
                <w:color w:val="FFFFFF"/>
                <w:sz w:val="19"/>
              </w:rPr>
              <w:t>Signature / Approval</w:t>
            </w:r>
          </w:p>
        </w:tc>
        <w:tc>
          <w:tcPr>
            <w:tcW w:type="dxa" w:w="1152"/>
            <w:shd w:val="clear" w:color="auto" w:fill="0B2E4E"/>
            <w:tcMar>
              <w:top w:w="60" w:type="dxa"/>
              <w:bottom w:w="60" w:type="dxa"/>
              <w:left w:w="100" w:type="dxa"/>
              <w:right w:w="100" w:type="dxa"/>
            </w:tcMar>
            <w:vAlign w:val="center"/>
          </w:tcPr>
          <w:p>
            <w:r/>
            <w:r>
              <w:rPr>
                <w:b/>
                <w:color w:val="FFFFFF"/>
                <w:sz w:val="19"/>
              </w:rPr>
              <w:t>Date</w:t>
            </w:r>
          </w:p>
        </w:tc>
      </w:tr>
      <w:tr>
        <w:tc>
          <w:tcPr>
            <w:tcW w:type="dxa" w:w="2736"/>
            <w:shd w:val="clear" w:color="auto" w:fill="F2F4F6"/>
            <w:tcMar>
              <w:top w:w="60" w:type="dxa"/>
              <w:bottom w:w="60" w:type="dxa"/>
              <w:left w:w="100" w:type="dxa"/>
              <w:right w:w="100" w:type="dxa"/>
            </w:tcMar>
          </w:tcPr>
          <w:p>
            <w:pPr>
              <w:spacing w:before="0" w:after="0"/>
            </w:pPr>
            <w:r/>
            <w:r>
              <w:rPr>
                <w:color w:val="3C4752"/>
                <w:sz w:val="19"/>
              </w:rPr>
              <w:t>Business Sponsor</w:t>
            </w:r>
          </w:p>
        </w:tc>
        <w:tc>
          <w:tcPr>
            <w:tcW w:type="dxa" w:w="2160"/>
            <w:shd w:val="clear" w:color="auto" w:fill="F2F4F6"/>
            <w:tcMar>
              <w:top w:w="60" w:type="dxa"/>
              <w:bottom w:w="60" w:type="dxa"/>
              <w:left w:w="100" w:type="dxa"/>
              <w:right w:w="100" w:type="dxa"/>
            </w:tcMar>
          </w:tcPr>
          <w:p>
            <w:pPr>
              <w:spacing w:before="0" w:after="0"/>
            </w:pPr>
            <w:r/>
            <w:r>
              <w:rPr>
                <w:color w:val="3C4752"/>
                <w:sz w:val="19"/>
              </w:rPr>
            </w:r>
          </w:p>
        </w:tc>
        <w:tc>
          <w:tcPr>
            <w:tcW w:type="dxa" w:w="2592"/>
            <w:shd w:val="clear" w:color="auto" w:fill="F2F4F6"/>
            <w:tcMar>
              <w:top w:w="60" w:type="dxa"/>
              <w:bottom w:w="60" w:type="dxa"/>
              <w:left w:w="100" w:type="dxa"/>
              <w:right w:w="100" w:type="dxa"/>
            </w:tcMar>
          </w:tcPr>
          <w:p>
            <w:pPr>
              <w:spacing w:before="0" w:after="0"/>
            </w:pPr>
            <w:r/>
            <w:r>
              <w:rPr>
                <w:color w:val="3C4752"/>
                <w:sz w:val="19"/>
              </w:rPr>
            </w:r>
          </w:p>
        </w:tc>
        <w:tc>
          <w:tcPr>
            <w:tcW w:type="dxa" w:w="1152"/>
            <w:shd w:val="clear" w:color="auto" w:fill="F2F4F6"/>
            <w:tcMar>
              <w:top w:w="60" w:type="dxa"/>
              <w:bottom w:w="60" w:type="dxa"/>
              <w:left w:w="100" w:type="dxa"/>
              <w:right w:w="100" w:type="dxa"/>
            </w:tcMar>
          </w:tcPr>
          <w:p>
            <w:pPr>
              <w:spacing w:before="0" w:after="0"/>
            </w:pPr>
            <w:r/>
            <w:r>
              <w:rPr>
                <w:color w:val="3C4752"/>
                <w:sz w:val="19"/>
              </w:rPr>
            </w:r>
          </w:p>
        </w:tc>
      </w:tr>
      <w:tr>
        <w:tc>
          <w:tcPr>
            <w:tcW w:type="dxa" w:w="2736"/>
            <w:shd w:val="clear" w:color="auto" w:fill="FFFFFF"/>
            <w:tcMar>
              <w:top w:w="60" w:type="dxa"/>
              <w:bottom w:w="60" w:type="dxa"/>
              <w:left w:w="100" w:type="dxa"/>
              <w:right w:w="100" w:type="dxa"/>
            </w:tcMar>
          </w:tcPr>
          <w:p>
            <w:pPr>
              <w:spacing w:before="0" w:after="0"/>
            </w:pPr>
            <w:r/>
            <w:r>
              <w:rPr>
                <w:color w:val="3C4752"/>
                <w:sz w:val="19"/>
              </w:rPr>
              <w:t>Product Owner</w:t>
            </w:r>
          </w:p>
        </w:tc>
        <w:tc>
          <w:tcPr>
            <w:tcW w:type="dxa" w:w="2160"/>
            <w:shd w:val="clear" w:color="auto" w:fill="FFFFFF"/>
            <w:tcMar>
              <w:top w:w="60" w:type="dxa"/>
              <w:bottom w:w="60" w:type="dxa"/>
              <w:left w:w="100" w:type="dxa"/>
              <w:right w:w="100" w:type="dxa"/>
            </w:tcMar>
          </w:tcPr>
          <w:p>
            <w:pPr>
              <w:spacing w:before="0" w:after="0"/>
            </w:pPr>
            <w:r/>
            <w:r>
              <w:rPr>
                <w:color w:val="3C4752"/>
                <w:sz w:val="19"/>
              </w:rPr>
            </w:r>
          </w:p>
        </w:tc>
        <w:tc>
          <w:tcPr>
            <w:tcW w:type="dxa" w:w="2592"/>
            <w:shd w:val="clear" w:color="auto" w:fill="FFFFFF"/>
            <w:tcMar>
              <w:top w:w="60" w:type="dxa"/>
              <w:bottom w:w="60" w:type="dxa"/>
              <w:left w:w="100" w:type="dxa"/>
              <w:right w:w="100" w:type="dxa"/>
            </w:tcMar>
          </w:tcPr>
          <w:p>
            <w:pPr>
              <w:spacing w:before="0" w:after="0"/>
            </w:pPr>
            <w:r/>
            <w:r>
              <w:rPr>
                <w:color w:val="3C4752"/>
                <w:sz w:val="19"/>
              </w:rPr>
            </w:r>
          </w:p>
        </w:tc>
        <w:tc>
          <w:tcPr>
            <w:tcW w:type="dxa" w:w="1152"/>
            <w:shd w:val="clear" w:color="auto" w:fill="FFFFFF"/>
            <w:tcMar>
              <w:top w:w="60" w:type="dxa"/>
              <w:bottom w:w="60" w:type="dxa"/>
              <w:left w:w="100" w:type="dxa"/>
              <w:right w:w="100" w:type="dxa"/>
            </w:tcMar>
          </w:tcPr>
          <w:p>
            <w:pPr>
              <w:spacing w:before="0" w:after="0"/>
            </w:pPr>
            <w:r/>
            <w:r>
              <w:rPr>
                <w:color w:val="3C4752"/>
                <w:sz w:val="19"/>
              </w:rPr>
            </w:r>
          </w:p>
        </w:tc>
      </w:tr>
      <w:tr>
        <w:tc>
          <w:tcPr>
            <w:tcW w:type="dxa" w:w="2736"/>
            <w:shd w:val="clear" w:color="auto" w:fill="F2F4F6"/>
            <w:tcMar>
              <w:top w:w="60" w:type="dxa"/>
              <w:bottom w:w="60" w:type="dxa"/>
              <w:left w:w="100" w:type="dxa"/>
              <w:right w:w="100" w:type="dxa"/>
            </w:tcMar>
          </w:tcPr>
          <w:p>
            <w:pPr>
              <w:spacing w:before="0" w:after="0"/>
            </w:pPr>
            <w:r/>
            <w:r>
              <w:rPr>
                <w:color w:val="3C4752"/>
                <w:sz w:val="19"/>
              </w:rPr>
              <w:t>Engineering Lead</w:t>
            </w:r>
          </w:p>
        </w:tc>
        <w:tc>
          <w:tcPr>
            <w:tcW w:type="dxa" w:w="2160"/>
            <w:shd w:val="clear" w:color="auto" w:fill="F2F4F6"/>
            <w:tcMar>
              <w:top w:w="60" w:type="dxa"/>
              <w:bottom w:w="60" w:type="dxa"/>
              <w:left w:w="100" w:type="dxa"/>
              <w:right w:w="100" w:type="dxa"/>
            </w:tcMar>
          </w:tcPr>
          <w:p>
            <w:pPr>
              <w:spacing w:before="0" w:after="0"/>
            </w:pPr>
            <w:r/>
            <w:r>
              <w:rPr>
                <w:color w:val="3C4752"/>
                <w:sz w:val="19"/>
              </w:rPr>
            </w:r>
          </w:p>
        </w:tc>
        <w:tc>
          <w:tcPr>
            <w:tcW w:type="dxa" w:w="2592"/>
            <w:shd w:val="clear" w:color="auto" w:fill="F2F4F6"/>
            <w:tcMar>
              <w:top w:w="60" w:type="dxa"/>
              <w:bottom w:w="60" w:type="dxa"/>
              <w:left w:w="100" w:type="dxa"/>
              <w:right w:w="100" w:type="dxa"/>
            </w:tcMar>
          </w:tcPr>
          <w:p>
            <w:pPr>
              <w:spacing w:before="0" w:after="0"/>
            </w:pPr>
            <w:r/>
            <w:r>
              <w:rPr>
                <w:color w:val="3C4752"/>
                <w:sz w:val="19"/>
              </w:rPr>
            </w:r>
          </w:p>
        </w:tc>
        <w:tc>
          <w:tcPr>
            <w:tcW w:type="dxa" w:w="1152"/>
            <w:shd w:val="clear" w:color="auto" w:fill="F2F4F6"/>
            <w:tcMar>
              <w:top w:w="60" w:type="dxa"/>
              <w:bottom w:w="60" w:type="dxa"/>
              <w:left w:w="100" w:type="dxa"/>
              <w:right w:w="100" w:type="dxa"/>
            </w:tcMar>
          </w:tcPr>
          <w:p>
            <w:pPr>
              <w:spacing w:before="0" w:after="0"/>
            </w:pPr>
            <w:r/>
            <w:r>
              <w:rPr>
                <w:color w:val="3C4752"/>
                <w:sz w:val="19"/>
              </w:rPr>
            </w:r>
          </w:p>
        </w:tc>
      </w:tr>
      <w:tr>
        <w:tc>
          <w:tcPr>
            <w:tcW w:type="dxa" w:w="2736"/>
            <w:shd w:val="clear" w:color="auto" w:fill="FFFFFF"/>
            <w:tcMar>
              <w:top w:w="60" w:type="dxa"/>
              <w:bottom w:w="60" w:type="dxa"/>
              <w:left w:w="100" w:type="dxa"/>
              <w:right w:w="100" w:type="dxa"/>
            </w:tcMar>
          </w:tcPr>
          <w:p>
            <w:pPr>
              <w:spacing w:before="0" w:after="0"/>
            </w:pPr>
            <w:r/>
            <w:r>
              <w:rPr>
                <w:color w:val="3C4752"/>
                <w:sz w:val="19"/>
              </w:rPr>
              <w:t>Client Stakeholder (if applicable)</w:t>
            </w:r>
          </w:p>
        </w:tc>
        <w:tc>
          <w:tcPr>
            <w:tcW w:type="dxa" w:w="2160"/>
            <w:shd w:val="clear" w:color="auto" w:fill="FFFFFF"/>
            <w:tcMar>
              <w:top w:w="60" w:type="dxa"/>
              <w:bottom w:w="60" w:type="dxa"/>
              <w:left w:w="100" w:type="dxa"/>
              <w:right w:w="100" w:type="dxa"/>
            </w:tcMar>
          </w:tcPr>
          <w:p>
            <w:pPr>
              <w:spacing w:before="0" w:after="0"/>
            </w:pPr>
            <w:r/>
            <w:r>
              <w:rPr>
                <w:color w:val="3C4752"/>
                <w:sz w:val="19"/>
              </w:rPr>
            </w:r>
          </w:p>
        </w:tc>
        <w:tc>
          <w:tcPr>
            <w:tcW w:type="dxa" w:w="2592"/>
            <w:shd w:val="clear" w:color="auto" w:fill="FFFFFF"/>
            <w:tcMar>
              <w:top w:w="60" w:type="dxa"/>
              <w:bottom w:w="60" w:type="dxa"/>
              <w:left w:w="100" w:type="dxa"/>
              <w:right w:w="100" w:type="dxa"/>
            </w:tcMar>
          </w:tcPr>
          <w:p>
            <w:pPr>
              <w:spacing w:before="0" w:after="0"/>
            </w:pPr>
            <w:r/>
            <w:r>
              <w:rPr>
                <w:color w:val="3C4752"/>
                <w:sz w:val="19"/>
              </w:rPr>
            </w:r>
          </w:p>
        </w:tc>
        <w:tc>
          <w:tcPr>
            <w:tcW w:type="dxa" w:w="1152"/>
            <w:shd w:val="clear" w:color="auto" w:fill="FFFFFF"/>
            <w:tcMar>
              <w:top w:w="60" w:type="dxa"/>
              <w:bottom w:w="60" w:type="dxa"/>
              <w:left w:w="100" w:type="dxa"/>
              <w:right w:w="100" w:type="dxa"/>
            </w:tcMar>
          </w:tcPr>
          <w:p>
            <w:pPr>
              <w:spacing w:before="0" w:after="0"/>
            </w:pPr>
            <w:r/>
            <w:r>
              <w:rPr>
                <w:color w:val="3C4752"/>
                <w:sz w:val="19"/>
              </w:rPr>
            </w:r>
          </w:p>
        </w:tc>
      </w:tr>
    </w:tbl>
    <w:p>
      <w:pPr>
        <w:spacing w:after="80"/>
      </w:pPr>
    </w:p>
    <w:p>
      <w:r>
        <w:br w:type="page"/>
      </w:r>
    </w:p>
    <w:p>
      <w:pPr>
        <w:pStyle w:val="Heading1"/>
      </w:pPr>
      <w:r>
        <w:t>Table of Contents</w:t>
      </w:r>
    </w:p>
    <w:p>
      <w:r>
        <w:fldChar w:fldCharType="begin" w:dirty="true"/>
        <w:instrText xml:space="preserve">TOC \o "1-3" \h \z \u</w:instrText>
        <w:fldChar w:fldCharType="separate"/>
      </w:r>
      <w:r>
        <w:t>Right-click and choose “Update Field” to generate the table of contents.</w:t>
      </w:r>
      <w:r>
        <w:fldChar w:fldCharType="end"/>
      </w:r>
    </w:p>
    <w:p>
      <w:r>
        <w:br w:type="page"/>
      </w:r>
    </w:p>
    <w:p>
      <w:pPr>
        <w:pStyle w:val="Heading1"/>
      </w:pPr>
      <w:r>
        <w:rPr>
          <w:color w:val="0F6E84"/>
        </w:rPr>
        <w:t xml:space="preserve">1  </w:t>
      </w:r>
      <w:r>
        <w:t>Executive Summary</w:t>
      </w:r>
    </w:p>
    <w:p>
      <w:r>
        <w:rPr>
          <w:b w:val="0"/>
          <w:i w:val="0"/>
        </w:rPr>
        <w:t>India trains and hires millions of vocational workers a year through a training system, a hiring system and a national skills-standards system that operate almost entirely apart from one another. A candidate completes a course with no reliable evidence it improves their employability. An employer cannot efficiently tell which certificate means anything. A training provider gets no signal about what skills the market is actually short of. Each participant is describing the same underlying reality in an incompatible vocabulary, and nothing joins the three.</w:t>
      </w:r>
    </w:p>
    <w:p>
      <w:r>
        <w:rPr>
          <w:b w:val="0"/>
          <w:i w:val="0"/>
        </w:rPr>
        <w:t>The Intelligent Integrated Skill Marketplace (IISM) exists to close that gap. It decomposes candidates, jobs and courses into India’s National Skills Qualifications Framework (NSQF) — a shared, government-recognised vocabulary — and computes over that shared representation: what a candidate is missing for a job they want, and which specific course closes that gap. The listings themselves are a commodity available from many providers; the graph that connects them and the scoring that reasons over it is the part that is difficult to replicate and is this platform’s defensible core.</w:t>
      </w:r>
    </w:p>
    <w:p>
      <w:r>
        <w:rPr>
          <w:b w:val="0"/>
          <w:i w:val="0"/>
        </w:rPr>
        <w:t>This document sets out the business case for that platform: the problem it solves, who it serves, what the business requires of it, how success will be measured, and the risks and constraints a sponsor or client should weigh before committing further investment. It describes a platform that is already built and operating — candidate registration, employer and training-provider onboarding, skill-gap matching, job applications, course interest and a verification back office are all live — rather than a proposal. Where capability is planned rather than built, this document, and its companion Functional Requirements Specification, say so plainly.</w:t>
      </w:r>
    </w:p>
    <w:p>
      <w:pPr>
        <w:pStyle w:val="Heading2"/>
      </w:pPr>
      <w:r>
        <w:t>1.1  Key Facts</w:t>
      </w:r>
    </w:p>
    <w:tbl>
      <w:tblPr>
        <w:tblStyle w:val="TableGrid"/>
        <w:tblW w:type="auto" w:w="0"/>
        <w:jc w:val="center"/>
        <w:tblLayout w:type="autofit"/>
        <w:tblLook w:firstColumn="1" w:firstRow="1" w:lastColumn="0" w:lastRow="0" w:noHBand="0" w:noVBand="1" w:val="04A0"/>
      </w:tblPr>
      <w:tblGrid>
        <w:gridCol w:w="4706"/>
        <w:gridCol w:w="4706"/>
      </w:tblGrid>
      <w:tr>
        <w:tc>
          <w:tcPr>
            <w:tcW w:type="dxa" w:w="2592"/>
            <w:shd w:val="clear" w:color="auto" w:fill="0B2E4E"/>
            <w:tcMar>
              <w:top w:w="60" w:type="dxa"/>
              <w:bottom w:w="60" w:type="dxa"/>
              <w:left w:w="100" w:type="dxa"/>
              <w:right w:w="100" w:type="dxa"/>
            </w:tcMar>
            <w:vAlign w:val="center"/>
          </w:tcPr>
          <w:p>
            <w:r/>
            <w:r>
              <w:rPr>
                <w:b/>
                <w:color w:val="FFFFFF"/>
                <w:sz w:val="19"/>
              </w:rPr>
              <w:t>Fact</w:t>
            </w:r>
          </w:p>
        </w:tc>
        <w:tc>
          <w:tcPr>
            <w:tcW w:type="dxa" w:w="6048"/>
            <w:shd w:val="clear" w:color="auto" w:fill="0B2E4E"/>
            <w:tcMar>
              <w:top w:w="60" w:type="dxa"/>
              <w:bottom w:w="60" w:type="dxa"/>
              <w:left w:w="100" w:type="dxa"/>
              <w:right w:w="100" w:type="dxa"/>
            </w:tcMar>
            <w:vAlign w:val="center"/>
          </w:tcPr>
          <w:p>
            <w:r/>
            <w:r>
              <w:rPr>
                <w:b/>
                <w:color w:val="FFFFFF"/>
                <w:sz w:val="19"/>
              </w:rPr>
              <w:t>Detail</w:t>
            </w:r>
          </w:p>
        </w:tc>
      </w:tr>
      <w:tr>
        <w:tc>
          <w:tcPr>
            <w:tcW w:type="dxa" w:w="2592"/>
            <w:shd w:val="clear" w:color="auto" w:fill="F2F4F6"/>
            <w:tcMar>
              <w:top w:w="60" w:type="dxa"/>
              <w:bottom w:w="60" w:type="dxa"/>
              <w:left w:w="100" w:type="dxa"/>
              <w:right w:w="100" w:type="dxa"/>
            </w:tcMar>
          </w:tcPr>
          <w:p>
            <w:pPr>
              <w:spacing w:before="0" w:after="0"/>
            </w:pPr>
            <w:r/>
            <w:r>
              <w:rPr>
                <w:color w:val="3C4752"/>
                <w:sz w:val="19"/>
              </w:rPr>
              <w:t>What is live today</w:t>
            </w:r>
          </w:p>
        </w:tc>
        <w:tc>
          <w:tcPr>
            <w:tcW w:type="dxa" w:w="6048"/>
            <w:shd w:val="clear" w:color="auto" w:fill="F2F4F6"/>
            <w:tcMar>
              <w:top w:w="60" w:type="dxa"/>
              <w:bottom w:w="60" w:type="dxa"/>
              <w:left w:w="100" w:type="dxa"/>
              <w:right w:w="100" w:type="dxa"/>
            </w:tcMar>
          </w:tcPr>
          <w:p>
            <w:pPr>
              <w:spacing w:before="0" w:after="0"/>
            </w:pPr>
            <w:r/>
            <w:r>
              <w:rPr>
                <w:color w:val="3C4752"/>
                <w:sz w:val="19"/>
              </w:rPr>
              <w:t>Full candidate, employer and training-provider workflows on a single platform, matching against the real national skills taxonomy.</w:t>
            </w:r>
          </w:p>
        </w:tc>
      </w:tr>
      <w:tr>
        <w:tc>
          <w:tcPr>
            <w:tcW w:type="dxa" w:w="2592"/>
            <w:shd w:val="clear" w:color="auto" w:fill="FFFFFF"/>
            <w:tcMar>
              <w:top w:w="60" w:type="dxa"/>
              <w:bottom w:w="60" w:type="dxa"/>
              <w:left w:w="100" w:type="dxa"/>
              <w:right w:w="100" w:type="dxa"/>
            </w:tcMar>
          </w:tcPr>
          <w:p>
            <w:pPr>
              <w:spacing w:before="0" w:after="0"/>
            </w:pPr>
            <w:r/>
            <w:r>
              <w:rPr>
                <w:color w:val="3C4752"/>
                <w:sz w:val="19"/>
              </w:rPr>
              <w:t>Pricing</w:t>
            </w:r>
          </w:p>
        </w:tc>
        <w:tc>
          <w:tcPr>
            <w:tcW w:type="dxa" w:w="6048"/>
            <w:shd w:val="clear" w:color="auto" w:fill="FFFFFF"/>
            <w:tcMar>
              <w:top w:w="60" w:type="dxa"/>
              <w:bottom w:w="60" w:type="dxa"/>
              <w:left w:w="100" w:type="dxa"/>
              <w:right w:w="100" w:type="dxa"/>
            </w:tcMar>
          </w:tcPr>
          <w:p>
            <w:pPr>
              <w:spacing w:before="0" w:after="0"/>
            </w:pPr>
            <w:r/>
            <w:r>
              <w:rPr>
                <w:color w:val="3C4752"/>
                <w:sz w:val="19"/>
              </w:rPr>
              <w:t>Free to every actor at this stage — a deliberate decision to prove recommendation quality before any revenue model is committed to.</w:t>
            </w:r>
          </w:p>
        </w:tc>
      </w:tr>
      <w:tr>
        <w:tc>
          <w:tcPr>
            <w:tcW w:type="dxa" w:w="2592"/>
            <w:shd w:val="clear" w:color="auto" w:fill="F2F4F6"/>
            <w:tcMar>
              <w:top w:w="60" w:type="dxa"/>
              <w:bottom w:w="60" w:type="dxa"/>
              <w:left w:w="100" w:type="dxa"/>
              <w:right w:w="100" w:type="dxa"/>
            </w:tcMar>
          </w:tcPr>
          <w:p>
            <w:pPr>
              <w:spacing w:before="0" w:after="0"/>
            </w:pPr>
            <w:r/>
            <w:r>
              <w:rPr>
                <w:color w:val="3C4752"/>
                <w:sz w:val="19"/>
              </w:rPr>
              <w:t>Geography and language</w:t>
            </w:r>
          </w:p>
        </w:tc>
        <w:tc>
          <w:tcPr>
            <w:tcW w:type="dxa" w:w="6048"/>
            <w:shd w:val="clear" w:color="auto" w:fill="F2F4F6"/>
            <w:tcMar>
              <w:top w:w="60" w:type="dxa"/>
              <w:bottom w:w="60" w:type="dxa"/>
              <w:left w:w="100" w:type="dxa"/>
              <w:right w:w="100" w:type="dxa"/>
            </w:tcMar>
          </w:tcPr>
          <w:p>
            <w:pPr>
              <w:spacing w:before="0" w:after="0"/>
            </w:pPr>
            <w:r/>
            <w:r>
              <w:rPr>
                <w:color w:val="3C4752"/>
                <w:sz w:val="19"/>
              </w:rPr>
              <w:t>India-first; Hindi and English throughout the interface from day one.</w:t>
            </w:r>
          </w:p>
        </w:tc>
      </w:tr>
      <w:tr>
        <w:tc>
          <w:tcPr>
            <w:tcW w:type="dxa" w:w="2592"/>
            <w:shd w:val="clear" w:color="auto" w:fill="FFFFFF"/>
            <w:tcMar>
              <w:top w:w="60" w:type="dxa"/>
              <w:bottom w:w="60" w:type="dxa"/>
              <w:left w:w="100" w:type="dxa"/>
              <w:right w:w="100" w:type="dxa"/>
            </w:tcMar>
          </w:tcPr>
          <w:p>
            <w:pPr>
              <w:spacing w:before="0" w:after="0"/>
            </w:pPr>
            <w:r/>
            <w:r>
              <w:rPr>
                <w:color w:val="3C4752"/>
                <w:sz w:val="19"/>
              </w:rPr>
              <w:t>Sector coverage</w:t>
            </w:r>
          </w:p>
        </w:tc>
        <w:tc>
          <w:tcPr>
            <w:tcW w:type="dxa" w:w="6048"/>
            <w:shd w:val="clear" w:color="auto" w:fill="FFFFFF"/>
            <w:tcMar>
              <w:top w:w="60" w:type="dxa"/>
              <w:bottom w:w="60" w:type="dxa"/>
              <w:left w:w="100" w:type="dxa"/>
              <w:right w:w="100" w:type="dxa"/>
            </w:tcMar>
          </w:tcPr>
          <w:p>
            <w:pPr>
              <w:spacing w:before="0" w:after="0"/>
            </w:pPr>
            <w:r/>
            <w:r>
              <w:rPr>
                <w:color w:val="3C4752"/>
                <w:sz w:val="19"/>
              </w:rPr>
              <w:t>Multi-sector by design, not a single-vertical pilot.</w:t>
            </w:r>
          </w:p>
        </w:tc>
      </w:tr>
      <w:tr>
        <w:tc>
          <w:tcPr>
            <w:tcW w:type="dxa" w:w="2592"/>
            <w:shd w:val="clear" w:color="auto" w:fill="F2F4F6"/>
            <w:tcMar>
              <w:top w:w="60" w:type="dxa"/>
              <w:bottom w:w="60" w:type="dxa"/>
              <w:left w:w="100" w:type="dxa"/>
              <w:right w:w="100" w:type="dxa"/>
            </w:tcMar>
          </w:tcPr>
          <w:p>
            <w:pPr>
              <w:spacing w:before="0" w:after="0"/>
            </w:pPr>
            <w:r/>
            <w:r>
              <w:rPr>
                <w:color w:val="3C4752"/>
                <w:sz w:val="19"/>
              </w:rPr>
              <w:t>Data protection</w:t>
            </w:r>
          </w:p>
        </w:tc>
        <w:tc>
          <w:tcPr>
            <w:tcW w:type="dxa" w:w="6048"/>
            <w:shd w:val="clear" w:color="auto" w:fill="F2F4F6"/>
            <w:tcMar>
              <w:top w:w="60" w:type="dxa"/>
              <w:bottom w:w="60" w:type="dxa"/>
              <w:left w:w="100" w:type="dxa"/>
              <w:right w:w="100" w:type="dxa"/>
            </w:tcMar>
          </w:tcPr>
          <w:p>
            <w:pPr>
              <w:spacing w:before="0" w:after="0"/>
            </w:pPr>
            <w:r/>
            <w:r>
              <w:rPr>
                <w:color w:val="3C4752"/>
                <w:sz w:val="19"/>
              </w:rPr>
              <w:t>Built to the Digital Personal Data Protection Act, 2023 — explicit consent, data export and account/organisation erasure are all live capabilities.</w:t>
            </w:r>
          </w:p>
        </w:tc>
      </w:tr>
      <w:tr>
        <w:tc>
          <w:tcPr>
            <w:tcW w:type="dxa" w:w="2592"/>
            <w:shd w:val="clear" w:color="auto" w:fill="FFFFFF"/>
            <w:tcMar>
              <w:top w:w="60" w:type="dxa"/>
              <w:bottom w:w="60" w:type="dxa"/>
              <w:left w:w="100" w:type="dxa"/>
              <w:right w:w="100" w:type="dxa"/>
            </w:tcMar>
          </w:tcPr>
          <w:p>
            <w:pPr>
              <w:spacing w:before="0" w:after="0"/>
            </w:pPr>
            <w:r/>
            <w:r>
              <w:rPr>
                <w:color w:val="3C4752"/>
                <w:sz w:val="19"/>
              </w:rPr>
              <w:t>What this document does not cover</w:t>
            </w:r>
          </w:p>
        </w:tc>
        <w:tc>
          <w:tcPr>
            <w:tcW w:type="dxa" w:w="6048"/>
            <w:shd w:val="clear" w:color="auto" w:fill="FFFFFF"/>
            <w:tcMar>
              <w:top w:w="60" w:type="dxa"/>
              <w:bottom w:w="60" w:type="dxa"/>
              <w:left w:w="100" w:type="dxa"/>
              <w:right w:w="100" w:type="dxa"/>
            </w:tcMar>
          </w:tcPr>
          <w:p>
            <w:pPr>
              <w:spacing w:before="0" w:after="0"/>
            </w:pPr>
            <w:r/>
            <w:r>
              <w:rPr>
                <w:color w:val="3C4752"/>
                <w:sz w:val="19"/>
              </w:rPr>
              <w:t>System architecture, database and API design — recorded separately in the Architecture Decision Record.</w:t>
            </w:r>
          </w:p>
        </w:tc>
      </w:tr>
    </w:tbl>
    <w:p>
      <w:pPr>
        <w:spacing w:after="80"/>
      </w:pPr>
    </w:p>
    <w:p>
      <w:r>
        <w:br w:type="page"/>
      </w:r>
    </w:p>
    <w:p>
      <w:pPr>
        <w:pStyle w:val="Heading1"/>
      </w:pPr>
      <w:r>
        <w:rPr>
          <w:color w:val="0F6E84"/>
        </w:rPr>
        <w:t xml:space="preserve">2  </w:t>
      </w:r>
      <w:r>
        <w:t>How This Document Relates to Its Companions</w:t>
      </w:r>
    </w:p>
    <w:p>
      <w:r>
        <w:rPr>
          <w:b w:val="0"/>
          <w:i w:val="0"/>
        </w:rPr>
        <w:t>Three documents together describe this platform, and each answers a different question. Reading the wrong one for a given question is the most common way a review goes in circles, so the distinction is stated plainly here.</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68"/>
            <w:shd w:val="clear" w:color="auto" w:fill="0B2E4E"/>
            <w:tcMar>
              <w:top w:w="60" w:type="dxa"/>
              <w:bottom w:w="60" w:type="dxa"/>
              <w:left w:w="100" w:type="dxa"/>
              <w:right w:w="100" w:type="dxa"/>
            </w:tcMar>
            <w:vAlign w:val="center"/>
          </w:tcPr>
          <w:p>
            <w:r/>
            <w:r>
              <w:rPr>
                <w:b/>
                <w:color w:val="FFFFFF"/>
                <w:sz w:val="19"/>
              </w:rPr>
              <w:t>Document</w:t>
            </w:r>
          </w:p>
        </w:tc>
        <w:tc>
          <w:tcPr>
            <w:tcW w:type="dxa" w:w="3744"/>
            <w:shd w:val="clear" w:color="auto" w:fill="0B2E4E"/>
            <w:tcMar>
              <w:top w:w="60" w:type="dxa"/>
              <w:bottom w:w="60" w:type="dxa"/>
              <w:left w:w="100" w:type="dxa"/>
              <w:right w:w="100" w:type="dxa"/>
            </w:tcMar>
            <w:vAlign w:val="center"/>
          </w:tcPr>
          <w:p>
            <w:r/>
            <w:r>
              <w:rPr>
                <w:b/>
                <w:color w:val="FFFFFF"/>
                <w:sz w:val="19"/>
              </w:rPr>
              <w:t>Answers</w:t>
            </w:r>
          </w:p>
        </w:tc>
        <w:tc>
          <w:tcPr>
            <w:tcW w:type="dxa" w:w="2016"/>
            <w:shd w:val="clear" w:color="auto" w:fill="0B2E4E"/>
            <w:tcMar>
              <w:top w:w="60" w:type="dxa"/>
              <w:bottom w:w="60" w:type="dxa"/>
              <w:left w:w="100" w:type="dxa"/>
              <w:right w:w="100" w:type="dxa"/>
            </w:tcMar>
            <w:vAlign w:val="center"/>
          </w:tcPr>
          <w:p>
            <w:r/>
            <w:r>
              <w:rPr>
                <w:b/>
                <w:color w:val="FFFFFF"/>
                <w:sz w:val="19"/>
              </w:rPr>
              <w:t>Written For</w:t>
            </w:r>
          </w:p>
        </w:tc>
      </w:tr>
      <w:tr>
        <w:tc>
          <w:tcPr>
            <w:tcW w:type="dxa" w:w="3168"/>
            <w:shd w:val="clear" w:color="auto" w:fill="F2F4F6"/>
            <w:tcMar>
              <w:top w:w="60" w:type="dxa"/>
              <w:bottom w:w="60" w:type="dxa"/>
              <w:left w:w="100" w:type="dxa"/>
              <w:right w:w="100" w:type="dxa"/>
            </w:tcMar>
          </w:tcPr>
          <w:p>
            <w:pPr>
              <w:spacing w:before="0" w:after="0"/>
            </w:pPr>
            <w:r/>
            <w:r>
              <w:rPr>
                <w:color w:val="3C4752"/>
                <w:sz w:val="19"/>
              </w:rPr>
              <w:t>Business Requirements Document (this document)</w:t>
            </w:r>
          </w:p>
        </w:tc>
        <w:tc>
          <w:tcPr>
            <w:tcW w:type="dxa" w:w="3744"/>
            <w:shd w:val="clear" w:color="auto" w:fill="F2F4F6"/>
            <w:tcMar>
              <w:top w:w="60" w:type="dxa"/>
              <w:bottom w:w="60" w:type="dxa"/>
              <w:left w:w="100" w:type="dxa"/>
              <w:right w:w="100" w:type="dxa"/>
            </w:tcMar>
          </w:tcPr>
          <w:p>
            <w:pPr>
              <w:spacing w:before="0" w:after="0"/>
            </w:pPr>
            <w:r/>
            <w:r>
              <w:rPr>
                <w:color w:val="3C4752"/>
                <w:sz w:val="19"/>
              </w:rPr>
              <w:t>Why does this exist, what business outcome is it for, and what does the business need it to do?</w:t>
            </w:r>
          </w:p>
        </w:tc>
        <w:tc>
          <w:tcPr>
            <w:tcW w:type="dxa" w:w="2016"/>
            <w:shd w:val="clear" w:color="auto" w:fill="F2F4F6"/>
            <w:tcMar>
              <w:top w:w="60" w:type="dxa"/>
              <w:bottom w:w="60" w:type="dxa"/>
              <w:left w:w="100" w:type="dxa"/>
              <w:right w:w="100" w:type="dxa"/>
            </w:tcMar>
          </w:tcPr>
          <w:p>
            <w:pPr>
              <w:spacing w:before="0" w:after="0"/>
            </w:pPr>
            <w:r/>
            <w:r>
              <w:rPr>
                <w:color w:val="3C4752"/>
                <w:sz w:val="19"/>
              </w:rPr>
              <w:t>Business sponsors, product owners, external client stakeholders</w:t>
            </w:r>
          </w:p>
        </w:tc>
      </w:tr>
      <w:tr>
        <w:tc>
          <w:tcPr>
            <w:tcW w:type="dxa" w:w="3168"/>
            <w:shd w:val="clear" w:color="auto" w:fill="FFFFFF"/>
            <w:tcMar>
              <w:top w:w="60" w:type="dxa"/>
              <w:bottom w:w="60" w:type="dxa"/>
              <w:left w:w="100" w:type="dxa"/>
              <w:right w:w="100" w:type="dxa"/>
            </w:tcMar>
          </w:tcPr>
          <w:p>
            <w:pPr>
              <w:spacing w:before="0" w:after="0"/>
            </w:pPr>
            <w:r/>
            <w:r>
              <w:rPr>
                <w:color w:val="3C4752"/>
                <w:sz w:val="19"/>
              </w:rPr>
              <w:t>Functional Requirements Specification</w:t>
            </w:r>
          </w:p>
        </w:tc>
        <w:tc>
          <w:tcPr>
            <w:tcW w:type="dxa" w:w="3744"/>
            <w:shd w:val="clear" w:color="auto" w:fill="FFFFFF"/>
            <w:tcMar>
              <w:top w:w="60" w:type="dxa"/>
              <w:bottom w:w="60" w:type="dxa"/>
              <w:left w:w="100" w:type="dxa"/>
              <w:right w:w="100" w:type="dxa"/>
            </w:tcMar>
          </w:tcPr>
          <w:p>
            <w:pPr>
              <w:spacing w:before="0" w:after="0"/>
            </w:pPr>
            <w:r/>
            <w:r>
              <w:rPr>
                <w:color w:val="3C4752"/>
                <w:sz w:val="19"/>
              </w:rPr>
              <w:t>Exactly how does the system behave — every business rule, every user journey, step by step?</w:t>
            </w:r>
          </w:p>
        </w:tc>
        <w:tc>
          <w:tcPr>
            <w:tcW w:type="dxa" w:w="2016"/>
            <w:shd w:val="clear" w:color="auto" w:fill="FFFFFF"/>
            <w:tcMar>
              <w:top w:w="60" w:type="dxa"/>
              <w:bottom w:w="60" w:type="dxa"/>
              <w:left w:w="100" w:type="dxa"/>
              <w:right w:w="100" w:type="dxa"/>
            </w:tcMar>
          </w:tcPr>
          <w:p>
            <w:pPr>
              <w:spacing w:before="0" w:after="0"/>
            </w:pPr>
            <w:r/>
            <w:r>
              <w:rPr>
                <w:color w:val="3C4752"/>
                <w:sz w:val="19"/>
              </w:rPr>
              <w:t>Business users finalising detail, QA, engineering, and client stakeholders wanting the full behavioural picture</w:t>
            </w:r>
          </w:p>
        </w:tc>
      </w:tr>
      <w:tr>
        <w:tc>
          <w:tcPr>
            <w:tcW w:type="dxa" w:w="3168"/>
            <w:shd w:val="clear" w:color="auto" w:fill="F2F4F6"/>
            <w:tcMar>
              <w:top w:w="60" w:type="dxa"/>
              <w:bottom w:w="60" w:type="dxa"/>
              <w:left w:w="100" w:type="dxa"/>
              <w:right w:w="100" w:type="dxa"/>
            </w:tcMar>
          </w:tcPr>
          <w:p>
            <w:pPr>
              <w:spacing w:before="0" w:after="0"/>
            </w:pPr>
            <w:r/>
            <w:r>
              <w:rPr>
                <w:color w:val="3C4752"/>
                <w:sz w:val="19"/>
              </w:rPr>
              <w:t>Architecture Decision Record</w:t>
            </w:r>
          </w:p>
        </w:tc>
        <w:tc>
          <w:tcPr>
            <w:tcW w:type="dxa" w:w="3744"/>
            <w:shd w:val="clear" w:color="auto" w:fill="F2F4F6"/>
            <w:tcMar>
              <w:top w:w="60" w:type="dxa"/>
              <w:bottom w:w="60" w:type="dxa"/>
              <w:left w:w="100" w:type="dxa"/>
              <w:right w:w="100" w:type="dxa"/>
            </w:tcMar>
          </w:tcPr>
          <w:p>
            <w:pPr>
              <w:spacing w:before="0" w:after="0"/>
            </w:pPr>
            <w:r/>
            <w:r>
              <w:rPr>
                <w:color w:val="3C4752"/>
                <w:sz w:val="19"/>
              </w:rPr>
              <w:t>Why was the system built this way — the technical and structural decisions behind it?</w:t>
            </w:r>
          </w:p>
        </w:tc>
        <w:tc>
          <w:tcPr>
            <w:tcW w:type="dxa" w:w="2016"/>
            <w:shd w:val="clear" w:color="auto" w:fill="F2F4F6"/>
            <w:tcMar>
              <w:top w:w="60" w:type="dxa"/>
              <w:bottom w:w="60" w:type="dxa"/>
              <w:left w:w="100" w:type="dxa"/>
              <w:right w:w="100" w:type="dxa"/>
            </w:tcMar>
          </w:tcPr>
          <w:p>
            <w:pPr>
              <w:spacing w:before="0" w:after="0"/>
            </w:pPr>
            <w:r/>
            <w:r>
              <w:rPr>
                <w:color w:val="3C4752"/>
                <w:sz w:val="19"/>
              </w:rPr>
              <w:t>Engineering and technically literate reviewers</w:t>
            </w:r>
          </w:p>
        </w:tc>
      </w:tr>
    </w:tbl>
    <w:p>
      <w:pPr>
        <w:spacing w:after="80"/>
      </w:pPr>
    </w:p>
    <w:p>
      <w:r>
        <w:rPr>
          <w:b w:val="0"/>
          <w:i w:val="0"/>
        </w:rPr>
        <w:t>A business requirement in Section 6 of this document is stated as a capability the business needs, without prescribing how the system delivers it. The corresponding detail — the exact rules, screens and system behaviour that satisfy it — lives in the Functional Requirements Specification, and each requirement below names the section that carries that detail. Neither document repeats the other’s content in full.</w:t>
      </w:r>
    </w:p>
    <w:p>
      <w:r>
        <w:br w:type="page"/>
      </w:r>
    </w:p>
    <w:p>
      <w:pPr>
        <w:pStyle w:val="Heading1"/>
      </w:pPr>
      <w:r>
        <w:rPr>
          <w:color w:val="0F6E84"/>
        </w:rPr>
        <w:t xml:space="preserve">3  </w:t>
      </w:r>
      <w:r>
        <w:t>Business Problem and Opportunity</w:t>
      </w:r>
    </w:p>
    <w:p>
      <w:pPr>
        <w:pStyle w:val="Heading2"/>
      </w:pPr>
      <w:r>
        <w:t>3.1  The Problem: Three Silos, One Missing Vocabulary</w:t>
      </w:r>
    </w:p>
    <w:p>
      <w:r>
        <w:rPr>
          <w:b w:val="0"/>
          <w:i w:val="0"/>
        </w:rPr>
        <w:t>Three groups currently operate with almost no shared language between them:</w:t>
      </w:r>
    </w:p>
    <w:p>
      <w:pPr>
        <w:pStyle w:val="ListBullet"/>
        <w:spacing w:before="0" w:after="60"/>
      </w:pPr>
      <w:r>
        <w:rPr>
          <w:b/>
        </w:rPr>
        <w:t xml:space="preserve">Candidates </w:t>
      </w:r>
      <w:r>
        <w:t>complete a course with no dependable evidence it improves their employability. When a job does not follow, there is no way to know whether the course was weak, the target job was unrealistic, or one specific skill was missing.</w:t>
      </w:r>
    </w:p>
    <w:p>
      <w:pPr>
        <w:pStyle w:val="ListBullet"/>
        <w:spacing w:before="0" w:after="60"/>
      </w:pPr>
      <w:r>
        <w:rPr>
          <w:b/>
        </w:rPr>
        <w:t xml:space="preserve">Employers </w:t>
      </w:r>
      <w:r>
        <w:t>cannot efficiently find or verify skilled candidates. Certificates are hard to interpret across providers, self-reported skills are unreliable, and screening at volume for entry-level vocational roles costs more than the value of each hire.</w:t>
      </w:r>
    </w:p>
    <w:p>
      <w:pPr>
        <w:pStyle w:val="ListBullet"/>
        <w:spacing w:before="0" w:after="60"/>
      </w:pPr>
      <w:r>
        <w:rPr>
          <w:b/>
        </w:rPr>
        <w:t xml:space="preserve">Training providers </w:t>
      </w:r>
      <w:r>
        <w:t>get no feedback loop. They learn whether a course worked only through anecdote, long after a cohort has dispersed, with no signal about which skills employers are actually short of right now.</w:t>
      </w:r>
    </w:p>
    <w:p>
      <w:r>
        <w:rPr>
          <w:b w:val="0"/>
          <w:i w:val="0"/>
        </w:rPr>
        <w:t>Keyword search does not solve this: it matches strings, not competencies, missing genuine matches phrased differently while returning false matches that share vocabulary but not substance. A general-purpose AI similarity score does somewhat better on phrasing, but produces a number nobody can interrogate — unacceptable when the output can affect someone’s livelihood.</w:t>
      </w:r>
    </w:p>
    <w:p>
      <w:pPr>
        <w:pStyle w:val="Heading2"/>
      </w:pPr>
      <w:r>
        <w:t>3.2  The Opportunity</w:t>
      </w:r>
    </w:p>
    <w:p>
      <w:r>
        <w:rPr>
          <w:b w:val="0"/>
          <w:i w:val="0"/>
        </w:rPr>
        <w:t>India’s National Skills Qualifications Framework (NSQF) already defines a shared, government-recognised vocabulary for vocational skills, decomposing occupations into qualification packs, occupational standards, and specific assessable skills at defined proficiency levels. It is used almost exclusively as a certification standard — something a course is audited against — rather than as an operational structure that software reasons over. That is the opening this platform occupies: build the taxonomy as a live, queryable graph, express candidates, jobs and courses in its terms, and compute over the shared representation.</w:t>
      </w:r>
    </w:p>
    <w:p>
      <w:r>
        <w:rPr>
          <w:b w:val="0"/>
          <w:i w:val="0"/>
        </w:rPr>
        <w:t>The candidate-facing loop that results is the product’s defensible core: a candidate names a target, the platform computes the exact gap between where they are and what that target requires, recommends the courses that close that specific gap, and, as the gap narrows, surfaces better-matched jobs. Nobody else operating in this market computes that loop against the national standard.</w:t>
      </w:r>
    </w:p>
    <w:p>
      <w:r>
        <w:br w:type="page"/>
      </w:r>
    </w:p>
    <w:p>
      <w:pPr>
        <w:pStyle w:val="Heading1"/>
      </w:pPr>
      <w:r>
        <w:rPr>
          <w:color w:val="0F6E84"/>
        </w:rPr>
        <w:t xml:space="preserve">4  </w:t>
      </w:r>
      <w:r>
        <w:t>Business Objectives</w:t>
      </w:r>
    </w:p>
    <w:p>
      <w:pPr>
        <w:pStyle w:val="Heading2"/>
      </w:pPr>
      <w:r>
        <w:t>4.1  Primary Objective</w:t>
      </w:r>
    </w:p>
    <w:p>
      <w:r>
        <w:rPr>
          <w:b w:val="0"/>
          <w:i w:val="0"/>
        </w:rPr>
        <w:t>Prove, with a working platform and measured evidence rather than a pitch, that decomposing candidates, jobs and courses into a shared national skill vocabulary produces materially better matching than keyword search or a general similarity score — and that the result is explainable enough to defend to a candidate, an employer and a regulator.</w:t>
      </w:r>
    </w:p>
    <w:p>
      <w:pPr>
        <w:pStyle w:val="Heading2"/>
      </w:pPr>
      <w:r>
        <w:t>4.2  Strategic Direction</w:t>
      </w:r>
    </w:p>
    <w:p>
      <w:r>
        <w:rPr>
          <w:b w:val="0"/>
          <w:i w:val="0"/>
        </w:rPr>
        <w:t>The business is building toward three pillars, sequenced deliberately rather than pursued at once:</w:t>
      </w:r>
    </w:p>
    <w:tbl>
      <w:tblPr>
        <w:tblStyle w:val="TableGrid"/>
        <w:tblW w:type="auto" w:w="0"/>
        <w:jc w:val="center"/>
        <w:tblLayout w:type="autofit"/>
        <w:tblLook w:firstColumn="1" w:firstRow="1" w:lastColumn="0" w:lastRow="0" w:noHBand="0" w:noVBand="1" w:val="04A0"/>
      </w:tblPr>
      <w:tblGrid>
        <w:gridCol w:w="4706"/>
        <w:gridCol w:w="4706"/>
      </w:tblGrid>
      <w:tr>
        <w:tc>
          <w:tcPr>
            <w:tcW w:type="dxa" w:w="2160"/>
            <w:shd w:val="clear" w:color="auto" w:fill="0B2E4E"/>
            <w:tcMar>
              <w:top w:w="60" w:type="dxa"/>
              <w:bottom w:w="60" w:type="dxa"/>
              <w:left w:w="100" w:type="dxa"/>
              <w:right w:w="100" w:type="dxa"/>
            </w:tcMar>
            <w:vAlign w:val="center"/>
          </w:tcPr>
          <w:p>
            <w:r/>
            <w:r>
              <w:rPr>
                <w:b/>
                <w:color w:val="FFFFFF"/>
                <w:sz w:val="19"/>
              </w:rPr>
              <w:t>Pillar</w:t>
            </w:r>
          </w:p>
        </w:tc>
        <w:tc>
          <w:tcPr>
            <w:tcW w:type="dxa" w:w="6480"/>
            <w:shd w:val="clear" w:color="auto" w:fill="0B2E4E"/>
            <w:tcMar>
              <w:top w:w="60" w:type="dxa"/>
              <w:bottom w:w="60" w:type="dxa"/>
              <w:left w:w="100" w:type="dxa"/>
              <w:right w:w="100" w:type="dxa"/>
            </w:tcMar>
            <w:vAlign w:val="center"/>
          </w:tcPr>
          <w:p>
            <w:r/>
            <w:r>
              <w:rPr>
                <w:b/>
                <w:color w:val="FFFFFF"/>
                <w:sz w:val="19"/>
              </w:rPr>
              <w:t>Current State</w:t>
            </w:r>
          </w:p>
        </w:tc>
      </w:tr>
      <w:tr>
        <w:tc>
          <w:tcPr>
            <w:tcW w:type="dxa" w:w="2160"/>
            <w:shd w:val="clear" w:color="auto" w:fill="F2F4F6"/>
            <w:tcMar>
              <w:top w:w="60" w:type="dxa"/>
              <w:bottom w:w="60" w:type="dxa"/>
              <w:left w:w="100" w:type="dxa"/>
              <w:right w:w="100" w:type="dxa"/>
            </w:tcMar>
          </w:tcPr>
          <w:p>
            <w:pPr>
              <w:spacing w:before="0" w:after="0"/>
            </w:pPr>
            <w:r/>
            <w:r>
              <w:rPr>
                <w:color w:val="3C4752"/>
                <w:sz w:val="19"/>
              </w:rPr>
              <w:t>Job connect</w:t>
            </w:r>
          </w:p>
        </w:tc>
        <w:tc>
          <w:tcPr>
            <w:tcW w:type="dxa" w:w="6480"/>
            <w:shd w:val="clear" w:color="auto" w:fill="F2F4F6"/>
            <w:tcMar>
              <w:top w:w="60" w:type="dxa"/>
              <w:bottom w:w="60" w:type="dxa"/>
              <w:left w:w="100" w:type="dxa"/>
              <w:right w:w="100" w:type="dxa"/>
            </w:tcMar>
          </w:tcPr>
          <w:p>
            <w:pPr>
              <w:spacing w:before="0" w:after="0"/>
            </w:pPr>
            <w:r/>
            <w:r>
              <w:rPr>
                <w:color w:val="3C4752"/>
                <w:sz w:val="19"/>
              </w:rPr>
              <w:t>Built end to end: publish, NSQF-scored match, apply, employer inbox, contact disclosed on application. The most mature of the three, and the one this release is built and measured around.</w:t>
            </w:r>
          </w:p>
        </w:tc>
      </w:tr>
      <w:tr>
        <w:tc>
          <w:tcPr>
            <w:tcW w:type="dxa" w:w="2160"/>
            <w:shd w:val="clear" w:color="auto" w:fill="FFFFFF"/>
            <w:tcMar>
              <w:top w:w="60" w:type="dxa"/>
              <w:bottom w:w="60" w:type="dxa"/>
              <w:left w:w="100" w:type="dxa"/>
              <w:right w:w="100" w:type="dxa"/>
            </w:tcMar>
          </w:tcPr>
          <w:p>
            <w:pPr>
              <w:spacing w:before="0" w:after="0"/>
            </w:pPr>
            <w:r/>
            <w:r>
              <w:rPr>
                <w:color w:val="3C4752"/>
                <w:sz w:val="19"/>
              </w:rPr>
              <w:t>Course sales</w:t>
            </w:r>
          </w:p>
        </w:tc>
        <w:tc>
          <w:tcPr>
            <w:tcW w:type="dxa" w:w="6480"/>
            <w:shd w:val="clear" w:color="auto" w:fill="FFFFFF"/>
            <w:tcMar>
              <w:top w:w="60" w:type="dxa"/>
              <w:bottom w:w="60" w:type="dxa"/>
              <w:left w:w="100" w:type="dxa"/>
              <w:right w:w="100" w:type="dxa"/>
            </w:tcMar>
          </w:tcPr>
          <w:p>
            <w:pPr>
              <w:spacing w:before="0" w:after="0"/>
            </w:pPr>
            <w:r/>
            <w:r>
              <w:rPr>
                <w:color w:val="3C4752"/>
                <w:sz w:val="19"/>
              </w:rPr>
              <w:t>Courses are listed and can be discovered and recommended against a candidate’s gap; nothing downstream treats a course fee as a transaction yet. No payment processing exists in this release (Section 5.2).</w:t>
            </w:r>
          </w:p>
        </w:tc>
      </w:tr>
      <w:tr>
        <w:tc>
          <w:tcPr>
            <w:tcW w:type="dxa" w:w="2160"/>
            <w:shd w:val="clear" w:color="auto" w:fill="F2F4F6"/>
            <w:tcMar>
              <w:top w:w="60" w:type="dxa"/>
              <w:bottom w:w="60" w:type="dxa"/>
              <w:left w:w="100" w:type="dxa"/>
              <w:right w:w="100" w:type="dxa"/>
            </w:tcMar>
          </w:tcPr>
          <w:p>
            <w:pPr>
              <w:spacing w:before="0" w:after="0"/>
            </w:pPr>
            <w:r/>
            <w:r>
              <w:rPr>
                <w:color w:val="3C4752"/>
                <w:sz w:val="19"/>
              </w:rPr>
              <w:t>Gig / short-term work</w:t>
            </w:r>
          </w:p>
        </w:tc>
        <w:tc>
          <w:tcPr>
            <w:tcW w:type="dxa" w:w="6480"/>
            <w:shd w:val="clear" w:color="auto" w:fill="F2F4F6"/>
            <w:tcMar>
              <w:top w:w="60" w:type="dxa"/>
              <w:bottom w:w="60" w:type="dxa"/>
              <w:left w:w="100" w:type="dxa"/>
              <w:right w:w="100" w:type="dxa"/>
            </w:tcMar>
          </w:tcPr>
          <w:p>
            <w:pPr>
              <w:spacing w:before="0" w:after="0"/>
            </w:pPr>
            <w:r/>
            <w:r>
              <w:rPr>
                <w:color w:val="3C4752"/>
                <w:sz w:val="19"/>
              </w:rPr>
              <w:t>Not started. A genuinely different market with its own physics — availability rather than a permanent vacancy — rather than an extension of the first two, and treated as a distinct future decision (Section 13).</w:t>
            </w:r>
          </w:p>
        </w:tc>
      </w:tr>
    </w:tbl>
    <w:p>
      <w:pPr>
        <w:spacing w:after="80"/>
      </w:pPr>
    </w:p>
    <w:p>
      <w:pPr>
        <w:pStyle w:val="Heading2"/>
      </w:pPr>
      <w:r>
        <w:t>4.3  Customer Sequencing</w:t>
      </w:r>
    </w:p>
    <w:p>
      <w:r>
        <w:rPr>
          <w:b w:val="0"/>
          <w:i w:val="0"/>
        </w:rPr>
        <w:t>The individual candidate arriving alone is deliberately built and proven first, because it is the hardest version of the matching problem and the one that proves the intelligence layer actually works. Employer and training-provider onboarding — the business-to-business motion that eventually carries commercial weight — is a distribution channel layered onto the same underlying graph, not a separate build.</w:t>
      </w:r>
    </w:p>
    <w:p>
      <w:r>
        <w:br w:type="page"/>
      </w:r>
    </w:p>
    <w:p>
      <w:pPr>
        <w:pStyle w:val="Heading1"/>
      </w:pPr>
      <w:r>
        <w:rPr>
          <w:color w:val="0F6E84"/>
        </w:rPr>
        <w:t xml:space="preserve">5  </w:t>
      </w:r>
      <w:r>
        <w:t>Business Scope</w:t>
      </w:r>
    </w:p>
    <w:p>
      <w:pPr>
        <w:pStyle w:val="Heading2"/>
      </w:pPr>
      <w:r>
        <w:t>5.1  In Scope</w:t>
      </w:r>
    </w:p>
    <w:p>
      <w:r>
        <w:rPr>
          <w:b w:val="0"/>
          <w:i w:val="0"/>
        </w:rPr>
        <w:t>At a business-capability level. The detailed system behaviour behind each line is in the Functional Requirements Specification section named.</w:t>
      </w:r>
    </w:p>
    <w:tbl>
      <w:tblPr>
        <w:tblStyle w:val="TableGrid"/>
        <w:tblW w:type="auto" w:w="0"/>
        <w:jc w:val="center"/>
        <w:tblLayout w:type="autofit"/>
        <w:tblLook w:firstColumn="1" w:firstRow="1" w:lastColumn="0" w:lastRow="0" w:noHBand="0" w:noVBand="1" w:val="04A0"/>
      </w:tblPr>
      <w:tblGrid>
        <w:gridCol w:w="4706"/>
        <w:gridCol w:w="4706"/>
      </w:tblGrid>
      <w:tr>
        <w:tc>
          <w:tcPr>
            <w:tcW w:type="dxa" w:w="6480"/>
            <w:shd w:val="clear" w:color="auto" w:fill="0B2E4E"/>
            <w:tcMar>
              <w:top w:w="60" w:type="dxa"/>
              <w:bottom w:w="60" w:type="dxa"/>
              <w:left w:w="100" w:type="dxa"/>
              <w:right w:w="100" w:type="dxa"/>
            </w:tcMar>
            <w:vAlign w:val="center"/>
          </w:tcPr>
          <w:p>
            <w:r/>
            <w:r>
              <w:rPr>
                <w:b/>
                <w:color w:val="FFFFFF"/>
                <w:sz w:val="19"/>
              </w:rPr>
              <w:t>Business Capability</w:t>
            </w:r>
          </w:p>
        </w:tc>
        <w:tc>
          <w:tcPr>
            <w:tcW w:type="dxa" w:w="2160"/>
            <w:shd w:val="clear" w:color="auto" w:fill="0B2E4E"/>
            <w:tcMar>
              <w:top w:w="60" w:type="dxa"/>
              <w:bottom w:w="60" w:type="dxa"/>
              <w:left w:w="100" w:type="dxa"/>
              <w:right w:w="100" w:type="dxa"/>
            </w:tcMar>
            <w:vAlign w:val="center"/>
          </w:tcPr>
          <w:p>
            <w:r/>
            <w:r>
              <w:rPr>
                <w:b/>
                <w:color w:val="FFFFFF"/>
                <w:sz w:val="19"/>
              </w:rPr>
              <w:t>FRS Reference</w:t>
            </w:r>
          </w:p>
        </w:tc>
      </w:tr>
      <w:tr>
        <w:tc>
          <w:tcPr>
            <w:tcW w:type="dxa" w:w="6480"/>
            <w:shd w:val="clear" w:color="auto" w:fill="F2F4F6"/>
            <w:tcMar>
              <w:top w:w="60" w:type="dxa"/>
              <w:bottom w:w="60" w:type="dxa"/>
              <w:left w:w="100" w:type="dxa"/>
              <w:right w:w="100" w:type="dxa"/>
            </w:tcMar>
          </w:tcPr>
          <w:p>
            <w:pPr>
              <w:spacing w:before="0" w:after="0"/>
            </w:pPr>
            <w:r/>
            <w:r>
              <w:rPr>
                <w:color w:val="3C4752"/>
                <w:sz w:val="19"/>
              </w:rPr>
              <w:t>Candidates can register, build a skill profile and be matched to real vacancies against the national skills standard.</w:t>
            </w:r>
          </w:p>
        </w:tc>
        <w:tc>
          <w:tcPr>
            <w:tcW w:type="dxa" w:w="2160"/>
            <w:shd w:val="clear" w:color="auto" w:fill="F2F4F6"/>
            <w:tcMar>
              <w:top w:w="60" w:type="dxa"/>
              <w:bottom w:w="60" w:type="dxa"/>
              <w:left w:w="100" w:type="dxa"/>
              <w:right w:w="100" w:type="dxa"/>
            </w:tcMar>
          </w:tcPr>
          <w:p>
            <w:pPr>
              <w:spacing w:before="0" w:after="0"/>
            </w:pPr>
            <w:r/>
            <w:r>
              <w:rPr>
                <w:color w:val="3C4752"/>
                <w:sz w:val="19"/>
              </w:rPr>
              <w:t>FRS §4.1, 4.4, 4.7</w:t>
            </w:r>
          </w:p>
        </w:tc>
      </w:tr>
      <w:tr>
        <w:tc>
          <w:tcPr>
            <w:tcW w:type="dxa" w:w="6480"/>
            <w:shd w:val="clear" w:color="auto" w:fill="FFFFFF"/>
            <w:tcMar>
              <w:top w:w="60" w:type="dxa"/>
              <w:bottom w:w="60" w:type="dxa"/>
              <w:left w:w="100" w:type="dxa"/>
              <w:right w:w="100" w:type="dxa"/>
            </w:tcMar>
          </w:tcPr>
          <w:p>
            <w:pPr>
              <w:spacing w:before="0" w:after="0"/>
            </w:pPr>
            <w:r/>
            <w:r>
              <w:rPr>
                <w:color w:val="3C4752"/>
                <w:sz w:val="19"/>
              </w:rPr>
              <w:t>Employers can register, publish vacancies decomposed into required skills, and manage a ranked, explainable applicant pool.</w:t>
            </w:r>
          </w:p>
        </w:tc>
        <w:tc>
          <w:tcPr>
            <w:tcW w:type="dxa" w:w="2160"/>
            <w:shd w:val="clear" w:color="auto" w:fill="FFFFFF"/>
            <w:tcMar>
              <w:top w:w="60" w:type="dxa"/>
              <w:bottom w:w="60" w:type="dxa"/>
              <w:left w:w="100" w:type="dxa"/>
              <w:right w:w="100" w:type="dxa"/>
            </w:tcMar>
          </w:tcPr>
          <w:p>
            <w:pPr>
              <w:spacing w:before="0" w:after="0"/>
            </w:pPr>
            <w:r/>
            <w:r>
              <w:rPr>
                <w:color w:val="3C4752"/>
                <w:sz w:val="19"/>
              </w:rPr>
              <w:t>FRS §4.2, 4.5, 4.8, 4.10</w:t>
            </w:r>
          </w:p>
        </w:tc>
      </w:tr>
      <w:tr>
        <w:tc>
          <w:tcPr>
            <w:tcW w:type="dxa" w:w="6480"/>
            <w:shd w:val="clear" w:color="auto" w:fill="F2F4F6"/>
            <w:tcMar>
              <w:top w:w="60" w:type="dxa"/>
              <w:bottom w:w="60" w:type="dxa"/>
              <w:left w:w="100" w:type="dxa"/>
              <w:right w:w="100" w:type="dxa"/>
            </w:tcMar>
          </w:tcPr>
          <w:p>
            <w:pPr>
              <w:spacing w:before="0" w:after="0"/>
            </w:pPr>
            <w:r/>
            <w:r>
              <w:rPr>
                <w:color w:val="3C4752"/>
                <w:sz w:val="19"/>
              </w:rPr>
              <w:t>Training providers can register, publish courses anchored to a national qualification, and see who has expressed interest.</w:t>
            </w:r>
          </w:p>
        </w:tc>
        <w:tc>
          <w:tcPr>
            <w:tcW w:type="dxa" w:w="2160"/>
            <w:shd w:val="clear" w:color="auto" w:fill="F2F4F6"/>
            <w:tcMar>
              <w:top w:w="60" w:type="dxa"/>
              <w:bottom w:w="60" w:type="dxa"/>
              <w:left w:w="100" w:type="dxa"/>
              <w:right w:w="100" w:type="dxa"/>
            </w:tcMar>
          </w:tcPr>
          <w:p>
            <w:pPr>
              <w:spacing w:before="0" w:after="0"/>
            </w:pPr>
            <w:r/>
            <w:r>
              <w:rPr>
                <w:color w:val="3C4752"/>
                <w:sz w:val="19"/>
              </w:rPr>
              <w:t>FRS §4.2, 4.6, 4.9</w:t>
            </w:r>
          </w:p>
        </w:tc>
      </w:tr>
      <w:tr>
        <w:tc>
          <w:tcPr>
            <w:tcW w:type="dxa" w:w="6480"/>
            <w:shd w:val="clear" w:color="auto" w:fill="FFFFFF"/>
            <w:tcMar>
              <w:top w:w="60" w:type="dxa"/>
              <w:bottom w:w="60" w:type="dxa"/>
              <w:left w:w="100" w:type="dxa"/>
              <w:right w:w="100" w:type="dxa"/>
            </w:tcMar>
          </w:tcPr>
          <w:p>
            <w:pPr>
              <w:spacing w:before="0" w:after="0"/>
            </w:pPr>
            <w:r/>
            <w:r>
              <w:rPr>
                <w:color w:val="3C4752"/>
                <w:sz w:val="19"/>
              </w:rPr>
              <w:t>An organisation can operate as a team — owner, admins and members — rather than a single login.</w:t>
            </w:r>
          </w:p>
        </w:tc>
        <w:tc>
          <w:tcPr>
            <w:tcW w:type="dxa" w:w="2160"/>
            <w:shd w:val="clear" w:color="auto" w:fill="FFFFFF"/>
            <w:tcMar>
              <w:top w:w="60" w:type="dxa"/>
              <w:bottom w:w="60" w:type="dxa"/>
              <w:left w:w="100" w:type="dxa"/>
              <w:right w:w="100" w:type="dxa"/>
            </w:tcMar>
          </w:tcPr>
          <w:p>
            <w:pPr>
              <w:spacing w:before="0" w:after="0"/>
            </w:pPr>
            <w:r/>
            <w:r>
              <w:rPr>
                <w:color w:val="3C4752"/>
                <w:sz w:val="19"/>
              </w:rPr>
              <w:t>FRS §4.2</w:t>
            </w:r>
          </w:p>
        </w:tc>
      </w:tr>
      <w:tr>
        <w:tc>
          <w:tcPr>
            <w:tcW w:type="dxa" w:w="6480"/>
            <w:shd w:val="clear" w:color="auto" w:fill="F2F4F6"/>
            <w:tcMar>
              <w:top w:w="60" w:type="dxa"/>
              <w:bottom w:w="60" w:type="dxa"/>
              <w:left w:w="100" w:type="dxa"/>
              <w:right w:w="100" w:type="dxa"/>
            </w:tcMar>
          </w:tcPr>
          <w:p>
            <w:pPr>
              <w:spacing w:before="0" w:after="0"/>
            </w:pPr>
            <w:r/>
            <w:r>
              <w:rPr>
                <w:color w:val="3C4752"/>
                <w:sz w:val="19"/>
              </w:rPr>
              <w:t>The platform can independently verify an organisation and mark it as trusted.</w:t>
            </w:r>
          </w:p>
        </w:tc>
        <w:tc>
          <w:tcPr>
            <w:tcW w:type="dxa" w:w="2160"/>
            <w:shd w:val="clear" w:color="auto" w:fill="F2F4F6"/>
            <w:tcMar>
              <w:top w:w="60" w:type="dxa"/>
              <w:bottom w:w="60" w:type="dxa"/>
              <w:left w:w="100" w:type="dxa"/>
              <w:right w:w="100" w:type="dxa"/>
            </w:tcMar>
          </w:tcPr>
          <w:p>
            <w:pPr>
              <w:spacing w:before="0" w:after="0"/>
            </w:pPr>
            <w:r/>
            <w:r>
              <w:rPr>
                <w:color w:val="3C4752"/>
                <w:sz w:val="19"/>
              </w:rPr>
              <w:t>FRS §4.12</w:t>
            </w:r>
          </w:p>
        </w:tc>
      </w:tr>
      <w:tr>
        <w:tc>
          <w:tcPr>
            <w:tcW w:type="dxa" w:w="6480"/>
            <w:shd w:val="clear" w:color="auto" w:fill="FFFFFF"/>
            <w:tcMar>
              <w:top w:w="60" w:type="dxa"/>
              <w:bottom w:w="60" w:type="dxa"/>
              <w:left w:w="100" w:type="dxa"/>
              <w:right w:w="100" w:type="dxa"/>
            </w:tcMar>
          </w:tcPr>
          <w:p>
            <w:pPr>
              <w:spacing w:before="0" w:after="0"/>
            </w:pPr>
            <w:r/>
            <w:r>
              <w:rPr>
                <w:color w:val="3C4752"/>
                <w:sz w:val="19"/>
              </w:rPr>
              <w:t>Every user can exercise their data-protection rights: export their data and permanently delete their account.</w:t>
            </w:r>
          </w:p>
        </w:tc>
        <w:tc>
          <w:tcPr>
            <w:tcW w:type="dxa" w:w="2160"/>
            <w:shd w:val="clear" w:color="auto" w:fill="FFFFFF"/>
            <w:tcMar>
              <w:top w:w="60" w:type="dxa"/>
              <w:bottom w:w="60" w:type="dxa"/>
              <w:left w:w="100" w:type="dxa"/>
              <w:right w:w="100" w:type="dxa"/>
            </w:tcMar>
          </w:tcPr>
          <w:p>
            <w:pPr>
              <w:spacing w:before="0" w:after="0"/>
            </w:pPr>
            <w:r/>
            <w:r>
              <w:rPr>
                <w:color w:val="3C4752"/>
                <w:sz w:val="19"/>
              </w:rPr>
              <w:t>FRS §4.13</w:t>
            </w:r>
          </w:p>
        </w:tc>
      </w:tr>
      <w:tr>
        <w:tc>
          <w:tcPr>
            <w:tcW w:type="dxa" w:w="6480"/>
            <w:shd w:val="clear" w:color="auto" w:fill="F2F4F6"/>
            <w:tcMar>
              <w:top w:w="60" w:type="dxa"/>
              <w:bottom w:w="60" w:type="dxa"/>
              <w:left w:w="100" w:type="dxa"/>
              <w:right w:w="100" w:type="dxa"/>
            </w:tcMar>
          </w:tcPr>
          <w:p>
            <w:pPr>
              <w:spacing w:before="0" w:after="0"/>
            </w:pPr>
            <w:r/>
            <w:r>
              <w:rPr>
                <w:color w:val="3C4752"/>
                <w:sz w:val="19"/>
              </w:rPr>
              <w:t>The entire interface operates in Hindi and English.</w:t>
            </w:r>
          </w:p>
        </w:tc>
        <w:tc>
          <w:tcPr>
            <w:tcW w:type="dxa" w:w="2160"/>
            <w:shd w:val="clear" w:color="auto" w:fill="F2F4F6"/>
            <w:tcMar>
              <w:top w:w="60" w:type="dxa"/>
              <w:bottom w:w="60" w:type="dxa"/>
              <w:left w:w="100" w:type="dxa"/>
              <w:right w:w="100" w:type="dxa"/>
            </w:tcMar>
          </w:tcPr>
          <w:p>
            <w:pPr>
              <w:spacing w:before="0" w:after="0"/>
            </w:pPr>
            <w:r/>
            <w:r>
              <w:rPr>
                <w:color w:val="3C4752"/>
                <w:sz w:val="19"/>
              </w:rPr>
              <w:t>FRS §4.15</w:t>
            </w:r>
          </w:p>
        </w:tc>
      </w:tr>
      <w:tr>
        <w:tc>
          <w:tcPr>
            <w:tcW w:type="dxa" w:w="6480"/>
            <w:shd w:val="clear" w:color="auto" w:fill="FFFFFF"/>
            <w:tcMar>
              <w:top w:w="60" w:type="dxa"/>
              <w:bottom w:w="60" w:type="dxa"/>
              <w:left w:w="100" w:type="dxa"/>
              <w:right w:w="100" w:type="dxa"/>
            </w:tcMar>
          </w:tcPr>
          <w:p>
            <w:pPr>
              <w:spacing w:before="0" w:after="0"/>
            </w:pPr>
            <w:r/>
            <w:r>
              <w:rPr>
                <w:color w:val="3C4752"/>
                <w:sz w:val="19"/>
              </w:rPr>
              <w:t>The platform measures its own recommendation quality directly, independent of revenue.</w:t>
            </w:r>
          </w:p>
        </w:tc>
        <w:tc>
          <w:tcPr>
            <w:tcW w:type="dxa" w:w="2160"/>
            <w:shd w:val="clear" w:color="auto" w:fill="FFFFFF"/>
            <w:tcMar>
              <w:top w:w="60" w:type="dxa"/>
              <w:bottom w:w="60" w:type="dxa"/>
              <w:left w:w="100" w:type="dxa"/>
              <w:right w:w="100" w:type="dxa"/>
            </w:tcMar>
          </w:tcPr>
          <w:p>
            <w:pPr>
              <w:spacing w:before="0" w:after="0"/>
            </w:pPr>
            <w:r/>
            <w:r>
              <w:rPr>
                <w:color w:val="3C4752"/>
                <w:sz w:val="19"/>
              </w:rPr>
              <w:t>FRS §4.14</w:t>
            </w:r>
          </w:p>
        </w:tc>
      </w:tr>
    </w:tbl>
    <w:p>
      <w:pPr>
        <w:spacing w:after="80"/>
      </w:pPr>
    </w:p>
    <w:p>
      <w:pPr>
        <w:pStyle w:val="Heading2"/>
      </w:pPr>
      <w:r>
        <w:t>5.2  Out of Scope for This Release</w:t>
      </w:r>
    </w:p>
    <w:p>
      <w:r>
        <w:rPr>
          <w:b w:val="0"/>
          <w:i w:val="0"/>
        </w:rPr>
        <w:t>Each exclusion below was a deliberate decision, not an oversight. The full list with reasoning is in the Functional Requirements Specification, Section 7; the headline business-facing summary is below.</w:t>
      </w:r>
    </w:p>
    <w:tbl>
      <w:tblPr>
        <w:tblStyle w:val="TableGrid"/>
        <w:tblW w:type="auto" w:w="0"/>
        <w:jc w:val="center"/>
        <w:tblLayout w:type="autofit"/>
        <w:tblLook w:firstColumn="1" w:firstRow="1" w:lastColumn="0" w:lastRow="0" w:noHBand="0" w:noVBand="1" w:val="04A0"/>
      </w:tblPr>
      <w:tblGrid>
        <w:gridCol w:w="4706"/>
        <w:gridCol w:w="4706"/>
      </w:tblGrid>
      <w:tr>
        <w:tc>
          <w:tcPr>
            <w:tcW w:type="dxa" w:w="2880"/>
            <w:shd w:val="clear" w:color="auto" w:fill="0B2E4E"/>
            <w:tcMar>
              <w:top w:w="60" w:type="dxa"/>
              <w:bottom w:w="60" w:type="dxa"/>
              <w:left w:w="100" w:type="dxa"/>
              <w:right w:w="100" w:type="dxa"/>
            </w:tcMar>
            <w:vAlign w:val="center"/>
          </w:tcPr>
          <w:p>
            <w:r/>
            <w:r>
              <w:rPr>
                <w:b/>
                <w:color w:val="FFFFFF"/>
                <w:sz w:val="19"/>
              </w:rPr>
              <w:t>Excluded</w:t>
            </w:r>
          </w:p>
        </w:tc>
        <w:tc>
          <w:tcPr>
            <w:tcW w:type="dxa" w:w="5760"/>
            <w:shd w:val="clear" w:color="auto" w:fill="0B2E4E"/>
            <w:tcMar>
              <w:top w:w="60" w:type="dxa"/>
              <w:bottom w:w="60" w:type="dxa"/>
              <w:left w:w="100" w:type="dxa"/>
              <w:right w:w="100" w:type="dxa"/>
            </w:tcMar>
            <w:vAlign w:val="center"/>
          </w:tcPr>
          <w:p>
            <w:r/>
            <w:r>
              <w:rPr>
                <w:b/>
                <w:color w:val="FFFFFF"/>
                <w:sz w:val="19"/>
              </w:rPr>
              <w:t>Business Reason</w:t>
            </w:r>
          </w:p>
        </w:tc>
      </w:tr>
      <w:tr>
        <w:tc>
          <w:tcPr>
            <w:tcW w:type="dxa" w:w="2880"/>
            <w:shd w:val="clear" w:color="auto" w:fill="F2F4F6"/>
            <w:tcMar>
              <w:top w:w="60" w:type="dxa"/>
              <w:bottom w:w="60" w:type="dxa"/>
              <w:left w:w="100" w:type="dxa"/>
              <w:right w:w="100" w:type="dxa"/>
            </w:tcMar>
          </w:tcPr>
          <w:p>
            <w:pPr>
              <w:spacing w:before="0" w:after="0"/>
            </w:pPr>
            <w:r/>
            <w:r>
              <w:rPr>
                <w:color w:val="3C4752"/>
                <w:sz w:val="19"/>
              </w:rPr>
              <w:t>Billing and payments</w:t>
            </w:r>
          </w:p>
        </w:tc>
        <w:tc>
          <w:tcPr>
            <w:tcW w:type="dxa" w:w="5760"/>
            <w:shd w:val="clear" w:color="auto" w:fill="F2F4F6"/>
            <w:tcMar>
              <w:top w:w="60" w:type="dxa"/>
              <w:bottom w:w="60" w:type="dxa"/>
              <w:left w:w="100" w:type="dxa"/>
              <w:right w:w="100" w:type="dxa"/>
            </w:tcMar>
          </w:tcPr>
          <w:p>
            <w:pPr>
              <w:spacing w:before="0" w:after="0"/>
            </w:pPr>
            <w:r/>
            <w:r>
              <w:rPr>
                <w:color w:val="3C4752"/>
                <w:sz w:val="19"/>
              </w:rPr>
              <w:t>Nobody is charged in this release, so that recommendation quality can be proven before a revenue model is committed to.</w:t>
            </w:r>
          </w:p>
        </w:tc>
      </w:tr>
      <w:tr>
        <w:tc>
          <w:tcPr>
            <w:tcW w:type="dxa" w:w="2880"/>
            <w:shd w:val="clear" w:color="auto" w:fill="FFFFFF"/>
            <w:tcMar>
              <w:top w:w="60" w:type="dxa"/>
              <w:bottom w:w="60" w:type="dxa"/>
              <w:left w:w="100" w:type="dxa"/>
              <w:right w:w="100" w:type="dxa"/>
            </w:tcMar>
          </w:tcPr>
          <w:p>
            <w:pPr>
              <w:spacing w:before="0" w:after="0"/>
            </w:pPr>
            <w:r/>
            <w:r>
              <w:rPr>
                <w:color w:val="3C4752"/>
                <w:sz w:val="19"/>
              </w:rPr>
              <w:t>An in-house skills assessment engine</w:t>
            </w:r>
          </w:p>
        </w:tc>
        <w:tc>
          <w:tcPr>
            <w:tcW w:type="dxa" w:w="5760"/>
            <w:shd w:val="clear" w:color="auto" w:fill="FFFFFF"/>
            <w:tcMar>
              <w:top w:w="60" w:type="dxa"/>
              <w:bottom w:w="60" w:type="dxa"/>
              <w:left w:w="100" w:type="dxa"/>
              <w:right w:w="100" w:type="dxa"/>
            </w:tcMar>
          </w:tcPr>
          <w:p>
            <w:pPr>
              <w:spacing w:before="0" w:after="0"/>
            </w:pPr>
            <w:r/>
            <w:r>
              <w:rPr>
                <w:color w:val="3C4752"/>
                <w:sz w:val="19"/>
              </w:rPr>
              <w:t>The design integrates a third-party assessment provider rather than building independent testing; that integration is not yet built.</w:t>
            </w:r>
          </w:p>
        </w:tc>
      </w:tr>
      <w:tr>
        <w:tc>
          <w:tcPr>
            <w:tcW w:type="dxa" w:w="2880"/>
            <w:shd w:val="clear" w:color="auto" w:fill="F2F4F6"/>
            <w:tcMar>
              <w:top w:w="60" w:type="dxa"/>
              <w:bottom w:w="60" w:type="dxa"/>
              <w:left w:w="100" w:type="dxa"/>
              <w:right w:w="100" w:type="dxa"/>
            </w:tcMar>
          </w:tcPr>
          <w:p>
            <w:pPr>
              <w:spacing w:before="0" w:after="0"/>
            </w:pPr>
            <w:r/>
            <w:r>
              <w:rPr>
                <w:color w:val="3C4752"/>
                <w:sz w:val="19"/>
              </w:rPr>
              <w:t>Aadhaar identity verification</w:t>
            </w:r>
          </w:p>
        </w:tc>
        <w:tc>
          <w:tcPr>
            <w:tcW w:type="dxa" w:w="5760"/>
            <w:shd w:val="clear" w:color="auto" w:fill="F2F4F6"/>
            <w:tcMar>
              <w:top w:w="60" w:type="dxa"/>
              <w:bottom w:w="60" w:type="dxa"/>
              <w:left w:w="100" w:type="dxa"/>
              <w:right w:w="100" w:type="dxa"/>
            </w:tcMar>
          </w:tcPr>
          <w:p>
            <w:pPr>
              <w:spacing w:before="0" w:after="0"/>
            </w:pPr>
            <w:r/>
            <w:r>
              <w:rPr>
                <w:color w:val="3C4752"/>
                <w:sz w:val="19"/>
              </w:rPr>
              <w:t>Deliberately optional and not required for any capability in this release.</w:t>
            </w:r>
          </w:p>
        </w:tc>
      </w:tr>
      <w:tr>
        <w:tc>
          <w:tcPr>
            <w:tcW w:type="dxa" w:w="2880"/>
            <w:shd w:val="clear" w:color="auto" w:fill="FFFFFF"/>
            <w:tcMar>
              <w:top w:w="60" w:type="dxa"/>
              <w:bottom w:w="60" w:type="dxa"/>
              <w:left w:w="100" w:type="dxa"/>
              <w:right w:w="100" w:type="dxa"/>
            </w:tcMar>
          </w:tcPr>
          <w:p>
            <w:pPr>
              <w:spacing w:before="0" w:after="0"/>
            </w:pPr>
            <w:r/>
            <w:r>
              <w:rPr>
                <w:color w:val="3C4752"/>
                <w:sz w:val="19"/>
              </w:rPr>
              <w:t>A career-path recommendation engine</w:t>
            </w:r>
          </w:p>
        </w:tc>
        <w:tc>
          <w:tcPr>
            <w:tcW w:type="dxa" w:w="5760"/>
            <w:shd w:val="clear" w:color="auto" w:fill="FFFFFF"/>
            <w:tcMar>
              <w:top w:w="60" w:type="dxa"/>
              <w:bottom w:w="60" w:type="dxa"/>
              <w:left w:w="100" w:type="dxa"/>
              <w:right w:w="100" w:type="dxa"/>
            </w:tcMar>
          </w:tcPr>
          <w:p>
            <w:pPr>
              <w:spacing w:before="0" w:after="0"/>
            </w:pPr>
            <w:r/>
            <w:r>
              <w:rPr>
                <w:color w:val="3C4752"/>
                <w:sz w:val="19"/>
              </w:rPr>
              <w:t>Requires data volume and a skill-relationship graph that do not yet exist.</w:t>
            </w:r>
          </w:p>
        </w:tc>
      </w:tr>
      <w:tr>
        <w:tc>
          <w:tcPr>
            <w:tcW w:type="dxa" w:w="2880"/>
            <w:shd w:val="clear" w:color="auto" w:fill="F2F4F6"/>
            <w:tcMar>
              <w:top w:w="60" w:type="dxa"/>
              <w:bottom w:w="60" w:type="dxa"/>
              <w:left w:w="100" w:type="dxa"/>
              <w:right w:w="100" w:type="dxa"/>
            </w:tcMar>
          </w:tcPr>
          <w:p>
            <w:pPr>
              <w:spacing w:before="0" w:after="0"/>
            </w:pPr>
            <w:r/>
            <w:r>
              <w:rPr>
                <w:color w:val="3C4752"/>
                <w:sz w:val="19"/>
              </w:rPr>
              <w:t>A native mobile application</w:t>
            </w:r>
          </w:p>
        </w:tc>
        <w:tc>
          <w:tcPr>
            <w:tcW w:type="dxa" w:w="5760"/>
            <w:shd w:val="clear" w:color="auto" w:fill="F2F4F6"/>
            <w:tcMar>
              <w:top w:w="60" w:type="dxa"/>
              <w:bottom w:w="60" w:type="dxa"/>
              <w:left w:w="100" w:type="dxa"/>
              <w:right w:w="100" w:type="dxa"/>
            </w:tcMar>
          </w:tcPr>
          <w:p>
            <w:pPr>
              <w:spacing w:before="0" w:after="0"/>
            </w:pPr>
            <w:r/>
            <w:r>
              <w:rPr>
                <w:color w:val="3C4752"/>
                <w:sz w:val="19"/>
              </w:rPr>
              <w:t>The installable web application is judged sufficient at this stage.</w:t>
            </w:r>
          </w:p>
        </w:tc>
      </w:tr>
      <w:tr>
        <w:tc>
          <w:tcPr>
            <w:tcW w:type="dxa" w:w="2880"/>
            <w:shd w:val="clear" w:color="auto" w:fill="FFFFFF"/>
            <w:tcMar>
              <w:top w:w="60" w:type="dxa"/>
              <w:bottom w:w="60" w:type="dxa"/>
              <w:left w:w="100" w:type="dxa"/>
              <w:right w:w="100" w:type="dxa"/>
            </w:tcMar>
          </w:tcPr>
          <w:p>
            <w:pPr>
              <w:spacing w:before="0" w:after="0"/>
            </w:pPr>
            <w:r/>
            <w:r>
              <w:rPr>
                <w:color w:val="3C4752"/>
                <w:sz w:val="19"/>
              </w:rPr>
              <w:t>Gig / short-term work</w:t>
            </w:r>
          </w:p>
        </w:tc>
        <w:tc>
          <w:tcPr>
            <w:tcW w:type="dxa" w:w="5760"/>
            <w:shd w:val="clear" w:color="auto" w:fill="FFFFFF"/>
            <w:tcMar>
              <w:top w:w="60" w:type="dxa"/>
              <w:bottom w:w="60" w:type="dxa"/>
              <w:left w:w="100" w:type="dxa"/>
              <w:right w:w="100" w:type="dxa"/>
            </w:tcMar>
          </w:tcPr>
          <w:p>
            <w:pPr>
              <w:spacing w:before="0" w:after="0"/>
            </w:pPr>
            <w:r/>
            <w:r>
              <w:rPr>
                <w:color w:val="3C4752"/>
                <w:sz w:val="19"/>
              </w:rPr>
              <w:t>Treated as a distinct future market requiring its own design phase, not an extension of the current platform.</w:t>
            </w:r>
          </w:p>
        </w:tc>
      </w:tr>
    </w:tbl>
    <w:p>
      <w:pPr>
        <w:spacing w:after="80"/>
      </w:pPr>
    </w:p>
    <w:p>
      <w:r>
        <w:br w:type="page"/>
      </w:r>
    </w:p>
    <w:p>
      <w:pPr>
        <w:pStyle w:val="Heading1"/>
      </w:pPr>
      <w:r>
        <w:rPr>
          <w:color w:val="0F6E84"/>
        </w:rPr>
        <w:t xml:space="preserve">6  </w:t>
      </w:r>
      <w:r>
        <w:t>Stakeholders</w:t>
      </w:r>
    </w:p>
    <w:tbl>
      <w:tblPr>
        <w:tblStyle w:val="TableGrid"/>
        <w:tblW w:type="auto" w:w="0"/>
        <w:jc w:val="center"/>
        <w:tblLayout w:type="autofit"/>
        <w:tblLook w:firstColumn="1" w:firstRow="1" w:lastColumn="0" w:lastRow="0" w:noHBand="0" w:noVBand="1" w:val="04A0"/>
      </w:tblPr>
      <w:tblGrid>
        <w:gridCol w:w="4706"/>
        <w:gridCol w:w="4706"/>
      </w:tblGrid>
      <w:tr>
        <w:tc>
          <w:tcPr>
            <w:tcW w:type="dxa" w:w="3024"/>
            <w:shd w:val="clear" w:color="auto" w:fill="0B2E4E"/>
            <w:tcMar>
              <w:top w:w="60" w:type="dxa"/>
              <w:bottom w:w="60" w:type="dxa"/>
              <w:left w:w="100" w:type="dxa"/>
              <w:right w:w="100" w:type="dxa"/>
            </w:tcMar>
            <w:vAlign w:val="center"/>
          </w:tcPr>
          <w:p>
            <w:r/>
            <w:r>
              <w:rPr>
                <w:b/>
                <w:color w:val="FFFFFF"/>
                <w:sz w:val="19"/>
              </w:rPr>
              <w:t>Stakeholder</w:t>
            </w:r>
          </w:p>
        </w:tc>
        <w:tc>
          <w:tcPr>
            <w:tcW w:type="dxa" w:w="5616"/>
            <w:shd w:val="clear" w:color="auto" w:fill="0B2E4E"/>
            <w:tcMar>
              <w:top w:w="60" w:type="dxa"/>
              <w:bottom w:w="60" w:type="dxa"/>
              <w:left w:w="100" w:type="dxa"/>
              <w:right w:w="100" w:type="dxa"/>
            </w:tcMar>
            <w:vAlign w:val="center"/>
          </w:tcPr>
          <w:p>
            <w:r/>
            <w:r>
              <w:rPr>
                <w:b/>
                <w:color w:val="FFFFFF"/>
                <w:sz w:val="19"/>
              </w:rPr>
              <w:t>Interest / Need</w:t>
            </w:r>
          </w:p>
        </w:tc>
      </w:tr>
      <w:tr>
        <w:tc>
          <w:tcPr>
            <w:tcW w:type="dxa" w:w="3024"/>
            <w:shd w:val="clear" w:color="auto" w:fill="F2F4F6"/>
            <w:tcMar>
              <w:top w:w="60" w:type="dxa"/>
              <w:bottom w:w="60" w:type="dxa"/>
              <w:left w:w="100" w:type="dxa"/>
              <w:right w:w="100" w:type="dxa"/>
            </w:tcMar>
          </w:tcPr>
          <w:p>
            <w:pPr>
              <w:spacing w:before="0" w:after="0"/>
            </w:pPr>
            <w:r/>
            <w:r>
              <w:rPr>
                <w:color w:val="3C4752"/>
                <w:sz w:val="19"/>
              </w:rPr>
              <w:t>Job-seeking candidates</w:t>
            </w:r>
          </w:p>
        </w:tc>
        <w:tc>
          <w:tcPr>
            <w:tcW w:type="dxa" w:w="5616"/>
            <w:shd w:val="clear" w:color="auto" w:fill="F2F4F6"/>
            <w:tcMar>
              <w:top w:w="60" w:type="dxa"/>
              <w:bottom w:w="60" w:type="dxa"/>
              <w:left w:w="100" w:type="dxa"/>
              <w:right w:w="100" w:type="dxa"/>
            </w:tcMar>
          </w:tcPr>
          <w:p>
            <w:pPr>
              <w:spacing w:before="0" w:after="0"/>
            </w:pPr>
            <w:r/>
            <w:r>
              <w:rPr>
                <w:color w:val="3C4752"/>
                <w:sz w:val="19"/>
              </w:rPr>
              <w:t>A trustworthy, free way to know exactly what they are missing for the work they want, and what specifically closes that gap.</w:t>
            </w:r>
          </w:p>
        </w:tc>
      </w:tr>
      <w:tr>
        <w:tc>
          <w:tcPr>
            <w:tcW w:type="dxa" w:w="3024"/>
            <w:shd w:val="clear" w:color="auto" w:fill="FFFFFF"/>
            <w:tcMar>
              <w:top w:w="60" w:type="dxa"/>
              <w:bottom w:w="60" w:type="dxa"/>
              <w:left w:w="100" w:type="dxa"/>
              <w:right w:w="100" w:type="dxa"/>
            </w:tcMar>
          </w:tcPr>
          <w:p>
            <w:pPr>
              <w:spacing w:before="0" w:after="0"/>
            </w:pPr>
            <w:r/>
            <w:r>
              <w:rPr>
                <w:color w:val="3C4752"/>
                <w:sz w:val="19"/>
              </w:rPr>
              <w:t>Employers</w:t>
            </w:r>
          </w:p>
        </w:tc>
        <w:tc>
          <w:tcPr>
            <w:tcW w:type="dxa" w:w="5616"/>
            <w:shd w:val="clear" w:color="auto" w:fill="FFFFFF"/>
            <w:tcMar>
              <w:top w:w="60" w:type="dxa"/>
              <w:bottom w:w="60" w:type="dxa"/>
              <w:left w:w="100" w:type="dxa"/>
              <w:right w:w="100" w:type="dxa"/>
            </w:tcMar>
          </w:tcPr>
          <w:p>
            <w:pPr>
              <w:spacing w:before="0" w:after="0"/>
            </w:pPr>
            <w:r/>
            <w:r>
              <w:rPr>
                <w:color w:val="3C4752"/>
                <w:sz w:val="19"/>
              </w:rPr>
              <w:t>Efficient access to candidates who can demonstrably do the work, with the evidence behind that claim visible and explainable.</w:t>
            </w:r>
          </w:p>
        </w:tc>
      </w:tr>
      <w:tr>
        <w:tc>
          <w:tcPr>
            <w:tcW w:type="dxa" w:w="3024"/>
            <w:shd w:val="clear" w:color="auto" w:fill="F2F4F6"/>
            <w:tcMar>
              <w:top w:w="60" w:type="dxa"/>
              <w:bottom w:w="60" w:type="dxa"/>
              <w:left w:w="100" w:type="dxa"/>
              <w:right w:w="100" w:type="dxa"/>
            </w:tcMar>
          </w:tcPr>
          <w:p>
            <w:pPr>
              <w:spacing w:before="0" w:after="0"/>
            </w:pPr>
            <w:r/>
            <w:r>
              <w:rPr>
                <w:color w:val="3C4752"/>
                <w:sz w:val="19"/>
              </w:rPr>
              <w:t>Training / course providers</w:t>
            </w:r>
          </w:p>
        </w:tc>
        <w:tc>
          <w:tcPr>
            <w:tcW w:type="dxa" w:w="5616"/>
            <w:shd w:val="clear" w:color="auto" w:fill="F2F4F6"/>
            <w:tcMar>
              <w:top w:w="60" w:type="dxa"/>
              <w:bottom w:w="60" w:type="dxa"/>
              <w:left w:w="100" w:type="dxa"/>
              <w:right w:w="100" w:type="dxa"/>
            </w:tcMar>
          </w:tcPr>
          <w:p>
            <w:pPr>
              <w:spacing w:before="0" w:after="0"/>
            </w:pPr>
            <w:r/>
            <w:r>
              <w:rPr>
                <w:color w:val="3C4752"/>
                <w:sz w:val="19"/>
              </w:rPr>
              <w:t>Visibility into what the market actually needs, and a channel to reach candidates who have that specific, provable gap.</w:t>
            </w:r>
          </w:p>
        </w:tc>
      </w:tr>
      <w:tr>
        <w:tc>
          <w:tcPr>
            <w:tcW w:type="dxa" w:w="3024"/>
            <w:shd w:val="clear" w:color="auto" w:fill="FFFFFF"/>
            <w:tcMar>
              <w:top w:w="60" w:type="dxa"/>
              <w:bottom w:w="60" w:type="dxa"/>
              <w:left w:w="100" w:type="dxa"/>
              <w:right w:w="100" w:type="dxa"/>
            </w:tcMar>
          </w:tcPr>
          <w:p>
            <w:pPr>
              <w:spacing w:before="0" w:after="0"/>
            </w:pPr>
            <w:r/>
            <w:r>
              <w:rPr>
                <w:color w:val="3C4752"/>
                <w:sz w:val="19"/>
              </w:rPr>
              <w:t>Business Sponsors / Investors</w:t>
            </w:r>
          </w:p>
        </w:tc>
        <w:tc>
          <w:tcPr>
            <w:tcW w:type="dxa" w:w="5616"/>
            <w:shd w:val="clear" w:color="auto" w:fill="FFFFFF"/>
            <w:tcMar>
              <w:top w:w="60" w:type="dxa"/>
              <w:bottom w:w="60" w:type="dxa"/>
              <w:left w:w="100" w:type="dxa"/>
              <w:right w:w="100" w:type="dxa"/>
            </w:tcMar>
          </w:tcPr>
          <w:p>
            <w:pPr>
              <w:spacing w:before="0" w:after="0"/>
            </w:pPr>
            <w:r/>
            <w:r>
              <w:rPr>
                <w:color w:val="3C4752"/>
                <w:sz w:val="19"/>
              </w:rPr>
              <w:t>Evidence that the core matching claim is real and measurable before further investment is committed, particularly given the deliberate absence of a revenue model in this release.</w:t>
            </w:r>
          </w:p>
        </w:tc>
      </w:tr>
      <w:tr>
        <w:tc>
          <w:tcPr>
            <w:tcW w:type="dxa" w:w="3024"/>
            <w:shd w:val="clear" w:color="auto" w:fill="F2F4F6"/>
            <w:tcMar>
              <w:top w:w="60" w:type="dxa"/>
              <w:bottom w:w="60" w:type="dxa"/>
              <w:left w:w="100" w:type="dxa"/>
              <w:right w:w="100" w:type="dxa"/>
            </w:tcMar>
          </w:tcPr>
          <w:p>
            <w:pPr>
              <w:spacing w:before="0" w:after="0"/>
            </w:pPr>
            <w:r/>
            <w:r>
              <w:rPr>
                <w:color w:val="3C4752"/>
                <w:sz w:val="19"/>
              </w:rPr>
              <w:t>Platform Operators (internal)</w:t>
            </w:r>
          </w:p>
        </w:tc>
        <w:tc>
          <w:tcPr>
            <w:tcW w:type="dxa" w:w="5616"/>
            <w:shd w:val="clear" w:color="auto" w:fill="F2F4F6"/>
            <w:tcMar>
              <w:top w:w="60" w:type="dxa"/>
              <w:bottom w:w="60" w:type="dxa"/>
              <w:left w:w="100" w:type="dxa"/>
              <w:right w:w="100" w:type="dxa"/>
            </w:tcMar>
          </w:tcPr>
          <w:p>
            <w:pPr>
              <w:spacing w:before="0" w:after="0"/>
            </w:pPr>
            <w:r/>
            <w:r>
              <w:rPr>
                <w:color w:val="3C4752"/>
                <w:sz w:val="19"/>
              </w:rPr>
              <w:t>The ability to maintain trust on the platform by verifying organisations, without that authority being exploitable by any organisation role.</w:t>
            </w:r>
          </w:p>
        </w:tc>
      </w:tr>
      <w:tr>
        <w:tc>
          <w:tcPr>
            <w:tcW w:type="dxa" w:w="3024"/>
            <w:shd w:val="clear" w:color="auto" w:fill="FFFFFF"/>
            <w:tcMar>
              <w:top w:w="60" w:type="dxa"/>
              <w:bottom w:w="60" w:type="dxa"/>
              <w:left w:w="100" w:type="dxa"/>
              <w:right w:w="100" w:type="dxa"/>
            </w:tcMar>
          </w:tcPr>
          <w:p>
            <w:pPr>
              <w:spacing w:before="0" w:after="0"/>
            </w:pPr>
            <w:r/>
            <w:r>
              <w:rPr>
                <w:color w:val="3C4752"/>
                <w:sz w:val="19"/>
              </w:rPr>
              <w:t>Government and Sector Skill Councils (indirect)</w:t>
            </w:r>
          </w:p>
        </w:tc>
        <w:tc>
          <w:tcPr>
            <w:tcW w:type="dxa" w:w="5616"/>
            <w:shd w:val="clear" w:color="auto" w:fill="FFFFFF"/>
            <w:tcMar>
              <w:top w:w="60" w:type="dxa"/>
              <w:bottom w:w="60" w:type="dxa"/>
              <w:left w:w="100" w:type="dxa"/>
              <w:right w:w="100" w:type="dxa"/>
            </w:tcMar>
          </w:tcPr>
          <w:p>
            <w:pPr>
              <w:spacing w:before="0" w:after="0"/>
            </w:pPr>
            <w:r/>
            <w:r>
              <w:rPr>
                <w:color w:val="3C4752"/>
                <w:sz w:val="19"/>
              </w:rPr>
              <w:t>The platform aligns to and reinforces the national skills standard rather than inventing a private one, which is both a credibility asset and, longer-term, a channel for public-sector partnership.</w:t>
            </w:r>
          </w:p>
        </w:tc>
      </w:tr>
      <w:tr>
        <w:tc>
          <w:tcPr>
            <w:tcW w:type="dxa" w:w="3024"/>
            <w:shd w:val="clear" w:color="auto" w:fill="F2F4F6"/>
            <w:tcMar>
              <w:top w:w="60" w:type="dxa"/>
              <w:bottom w:w="60" w:type="dxa"/>
              <w:left w:w="100" w:type="dxa"/>
              <w:right w:w="100" w:type="dxa"/>
            </w:tcMar>
          </w:tcPr>
          <w:p>
            <w:pPr>
              <w:spacing w:before="0" w:after="0"/>
            </w:pPr>
            <w:r/>
            <w:r>
              <w:rPr>
                <w:color w:val="3C4752"/>
                <w:sz w:val="19"/>
              </w:rPr>
              <w:t>External Clients evaluating the platform</w:t>
            </w:r>
          </w:p>
        </w:tc>
        <w:tc>
          <w:tcPr>
            <w:tcW w:type="dxa" w:w="5616"/>
            <w:shd w:val="clear" w:color="auto" w:fill="F2F4F6"/>
            <w:tcMar>
              <w:top w:w="60" w:type="dxa"/>
              <w:bottom w:w="60" w:type="dxa"/>
              <w:left w:w="100" w:type="dxa"/>
              <w:right w:w="100" w:type="dxa"/>
            </w:tcMar>
          </w:tcPr>
          <w:p>
            <w:pPr>
              <w:spacing w:before="0" w:after="0"/>
            </w:pPr>
            <w:r/>
            <w:r>
              <w:rPr>
                <w:color w:val="3C4752"/>
                <w:sz w:val="19"/>
              </w:rPr>
              <w:t>A complete, honest picture of what is built today versus what is planned, sufficient to make a partnership or adoption decision.</w:t>
            </w:r>
          </w:p>
        </w:tc>
      </w:tr>
    </w:tbl>
    <w:p>
      <w:pPr>
        <w:spacing w:after="80"/>
      </w:pPr>
    </w:p>
    <w:p>
      <w:r>
        <w:br w:type="page"/>
      </w:r>
    </w:p>
    <w:p>
      <w:pPr>
        <w:pStyle w:val="Heading1"/>
      </w:pPr>
      <w:r>
        <w:rPr>
          <w:color w:val="0F6E84"/>
        </w:rPr>
        <w:t xml:space="preserve">7  </w:t>
      </w:r>
      <w:r>
        <w:t>Business Requirements</w:t>
      </w:r>
    </w:p>
    <w:p>
      <w:r>
        <w:rPr>
          <w:b w:val="0"/>
          <w:i w:val="0"/>
        </w:rPr>
        <w:t>Stated as capabilities the business needs, not as system behaviour — the “how” for each is in the Functional Requirements Specification section named beneath it.</w:t>
      </w:r>
    </w:p>
    <w:p>
      <w:pPr>
        <w:spacing w:before="120" w:after="40"/>
      </w:pPr>
      <w:r>
        <w:rPr>
          <w:rStyle w:val="ReqID"/>
        </w:rPr>
        <w:t xml:space="preserve">BRQ-01 </w:t>
      </w:r>
      <w:r>
        <w:t>The business requires a mechanism for job seekers to discover employment and training opportunities matched to skills they can demonstrably perform, expressed in a nationally recognised vocabulary rather than free text.</w:t>
      </w:r>
    </w:p>
    <w:p>
      <w:pPr>
        <w:pStyle w:val="Caption2"/>
      </w:pPr>
      <w:r>
        <w:t>Satisfied by: FRS §4.3, 4.4, 4.7</w:t>
      </w:r>
    </w:p>
    <w:p>
      <w:pPr>
        <w:spacing w:before="120" w:after="40"/>
      </w:pPr>
      <w:r>
        <w:rPr>
          <w:rStyle w:val="ReqID"/>
        </w:rPr>
        <w:t xml:space="preserve">BRQ-02 </w:t>
      </w:r>
      <w:r>
        <w:t>The business requires employers to describe vacancy requirements in the same vocabulary candidates are assessed against, so that a match is meaningful rather than a keyword coincidence.</w:t>
      </w:r>
    </w:p>
    <w:p>
      <w:pPr>
        <w:pStyle w:val="Caption2"/>
      </w:pPr>
      <w:r>
        <w:t>Satisfied by: FRS §4.5, 4.7</w:t>
      </w:r>
    </w:p>
    <w:p>
      <w:pPr>
        <w:spacing w:before="120" w:after="40"/>
      </w:pPr>
      <w:r>
        <w:rPr>
          <w:rStyle w:val="ReqID"/>
        </w:rPr>
        <w:t xml:space="preserve">BRQ-03 </w:t>
      </w:r>
      <w:r>
        <w:t>The business requires a candidate to be shown not only whether they qualify for a role, but exactly what would make them qualify, and a specific, actionable path — a course — to get there.</w:t>
      </w:r>
    </w:p>
    <w:p>
      <w:pPr>
        <w:pStyle w:val="Caption2"/>
      </w:pPr>
      <w:r>
        <w:t>Satisfied by: FRS §4.7</w:t>
      </w:r>
    </w:p>
    <w:p>
      <w:pPr>
        <w:spacing w:before="120" w:after="40"/>
      </w:pPr>
      <w:r>
        <w:rPr>
          <w:rStyle w:val="ReqID"/>
        </w:rPr>
        <w:t xml:space="preserve">BRQ-04 </w:t>
      </w:r>
      <w:r>
        <w:t>The business requires the platform to operate fully in the languages its target population actually uses, not only in English.</w:t>
      </w:r>
    </w:p>
    <w:p>
      <w:pPr>
        <w:pStyle w:val="Caption2"/>
      </w:pPr>
      <w:r>
        <w:t>Satisfied by: FRS §4.15</w:t>
      </w:r>
    </w:p>
    <w:p>
      <w:pPr>
        <w:spacing w:before="120" w:after="40"/>
      </w:pPr>
      <w:r>
        <w:rPr>
          <w:rStyle w:val="ReqID"/>
        </w:rPr>
        <w:t xml:space="preserve">BRQ-05 </w:t>
      </w:r>
      <w:r>
        <w:t>The business requires organisations to be able to onboard and publish inventory themselves, without depending on an internal operations team for every listing, while retaining an internal seeding path for cold-start inventory.</w:t>
      </w:r>
    </w:p>
    <w:p>
      <w:pPr>
        <w:pStyle w:val="Caption2"/>
      </w:pPr>
      <w:r>
        <w:t>Satisfied by: FRS §4.2, 4.5, 4.6</w:t>
      </w:r>
    </w:p>
    <w:p>
      <w:pPr>
        <w:spacing w:before="120" w:after="40"/>
      </w:pPr>
      <w:r>
        <w:rPr>
          <w:rStyle w:val="ReqID"/>
        </w:rPr>
        <w:t xml:space="preserve">BRQ-06 </w:t>
      </w:r>
      <w:r>
        <w:t>The business requires a trust mechanism so that a candidate, or an external client, can distinguish a genuinely vetted organisation from an unverified one, and requires that this trust signal cannot be self-asserted by the organisation itself.</w:t>
      </w:r>
    </w:p>
    <w:p>
      <w:pPr>
        <w:pStyle w:val="Caption2"/>
      </w:pPr>
      <w:r>
        <w:t>Satisfied by: FRS §4.12</w:t>
      </w:r>
    </w:p>
    <w:p>
      <w:pPr>
        <w:spacing w:before="120" w:after="40"/>
      </w:pPr>
      <w:r>
        <w:rPr>
          <w:rStyle w:val="ReqID"/>
        </w:rPr>
        <w:t xml:space="preserve">BRQ-07 </w:t>
      </w:r>
      <w:r>
        <w:t>The business requires full compliance with India’s data protection law for any personal data the platform collects, including the ability for any individual to see, export and erase their own data.</w:t>
      </w:r>
    </w:p>
    <w:p>
      <w:pPr>
        <w:pStyle w:val="Caption2"/>
      </w:pPr>
      <w:r>
        <w:t>Satisfied by: FRS §4.13</w:t>
      </w:r>
    </w:p>
    <w:p>
      <w:pPr>
        <w:spacing w:before="120" w:after="40"/>
      </w:pPr>
      <w:r>
        <w:rPr>
          <w:rStyle w:val="ReqID"/>
        </w:rPr>
        <w:t xml:space="preserve">BRQ-08 </w:t>
      </w:r>
      <w:r>
        <w:t>The business requires the platform to measure its own recommendation quality directly, since this release carries no revenue signal to measure success against instead.</w:t>
      </w:r>
    </w:p>
    <w:p>
      <w:pPr>
        <w:pStyle w:val="Caption2"/>
      </w:pPr>
      <w:r>
        <w:t>Satisfied by: FRS §4.14</w:t>
      </w:r>
    </w:p>
    <w:p>
      <w:pPr>
        <w:spacing w:before="120" w:after="40"/>
      </w:pPr>
      <w:r>
        <w:rPr>
          <w:rStyle w:val="ReqID"/>
        </w:rPr>
        <w:t xml:space="preserve">BRQ-09 </w:t>
      </w:r>
      <w:r>
        <w:t>The business requires an organisation to be able to operate as a team with role-based access, rather than being limited to a single shared login.</w:t>
      </w:r>
    </w:p>
    <w:p>
      <w:pPr>
        <w:pStyle w:val="Caption2"/>
      </w:pPr>
      <w:r>
        <w:t>Satisfied by: FRS §4.2</w:t>
      </w:r>
    </w:p>
    <w:p>
      <w:pPr>
        <w:spacing w:before="120" w:after="40"/>
      </w:pPr>
      <w:r>
        <w:rPr>
          <w:rStyle w:val="ReqID"/>
        </w:rPr>
        <w:t xml:space="preserve">BRQ-10 </w:t>
      </w:r>
      <w:r>
        <w:t>The business requires a candidate’s identity to be protected by default, disclosed only at the specific moments — applying to a job, registering interest in a course — where the candidate has chosen to be known to a specific organisation.</w:t>
      </w:r>
    </w:p>
    <w:p>
      <w:pPr>
        <w:pStyle w:val="Caption2"/>
      </w:pPr>
      <w:r>
        <w:t>Satisfied by: FRS §4.8, 4.9, 4.13</w:t>
      </w:r>
    </w:p>
    <w:p>
      <w:pPr>
        <w:spacing w:before="120" w:after="40"/>
      </w:pPr>
      <w:r>
        <w:rPr>
          <w:rStyle w:val="ReqID"/>
        </w:rPr>
        <w:t xml:space="preserve">BRQ-11 </w:t>
      </w:r>
      <w:r>
        <w:t>The business requires the underlying skill taxonomy to be extensible to additional economic sectors, and eventually to another country’s national skills framework, without a structural redesign.</w:t>
      </w:r>
    </w:p>
    <w:p>
      <w:pPr>
        <w:pStyle w:val="Caption2"/>
      </w:pPr>
      <w:r>
        <w:t>Satisfied by: FRS §4.3</w:t>
      </w:r>
    </w:p>
    <w:p>
      <w:pPr>
        <w:spacing w:before="120" w:after="40"/>
      </w:pPr>
      <w:r>
        <w:rPr>
          <w:rStyle w:val="ReqID"/>
        </w:rPr>
        <w:t xml:space="preserve">BRQ-12 </w:t>
      </w:r>
      <w:r>
        <w:t>The business requires the platform to run at no cost to any actor in this release, so that the recommendation-quality claim in Section 4.1 can be validated before any pricing decision is made.</w:t>
      </w:r>
    </w:p>
    <w:p>
      <w:pPr>
        <w:pStyle w:val="Caption2"/>
      </w:pPr>
      <w:r>
        <w:t>Satisfied by: FRS §10</w:t>
      </w:r>
    </w:p>
    <w:p>
      <w:r>
        <w:br w:type="page"/>
      </w:r>
    </w:p>
    <w:p>
      <w:pPr>
        <w:pStyle w:val="Heading1"/>
      </w:pPr>
      <w:r>
        <w:rPr>
          <w:color w:val="0F6E84"/>
        </w:rPr>
        <w:t xml:space="preserve">8  </w:t>
      </w:r>
      <w:r>
        <w:t>Business Process Overview</w:t>
      </w:r>
    </w:p>
    <w:p>
      <w:r>
        <w:rPr>
          <w:b w:val="0"/>
          <w:i w:val="0"/>
        </w:rPr>
        <w:t>The change each actor experiences, before and after the platform. Step-by-step system interactions for these same actors are mapped in the Functional Requirements Specification, Section 5.</w:t>
      </w:r>
    </w:p>
    <w:p>
      <w:pPr>
        <w:pStyle w:val="Heading2"/>
      </w:pPr>
      <w:r>
        <w:t>8.1  Candidate: Before and After</w:t>
      </w:r>
    </w:p>
    <w:tbl>
      <w:tblPr>
        <w:tblStyle w:val="TableGrid"/>
        <w:tblW w:type="auto" w:w="0"/>
        <w:jc w:val="center"/>
        <w:tblLayout w:type="autofit"/>
        <w:tblLook w:firstColumn="1" w:firstRow="1" w:lastColumn="0" w:lastRow="0" w:noHBand="0" w:noVBand="1" w:val="04A0"/>
      </w:tblPr>
      <w:tblGrid>
        <w:gridCol w:w="4706"/>
        <w:gridCol w:w="4706"/>
      </w:tblGrid>
      <w:tr>
        <w:tc>
          <w:tcPr>
            <w:tcW w:type="dxa" w:w="3888"/>
            <w:shd w:val="clear" w:color="auto" w:fill="0B2E4E"/>
            <w:tcMar>
              <w:top w:w="60" w:type="dxa"/>
              <w:bottom w:w="60" w:type="dxa"/>
              <w:left w:w="100" w:type="dxa"/>
              <w:right w:w="100" w:type="dxa"/>
            </w:tcMar>
            <w:vAlign w:val="center"/>
          </w:tcPr>
          <w:p>
            <w:r/>
            <w:r>
              <w:rPr>
                <w:b/>
                <w:color w:val="FFFFFF"/>
                <w:sz w:val="19"/>
              </w:rPr>
              <w:t>Before</w:t>
            </w:r>
          </w:p>
        </w:tc>
        <w:tc>
          <w:tcPr>
            <w:tcW w:type="dxa" w:w="4752"/>
            <w:shd w:val="clear" w:color="auto" w:fill="0B2E4E"/>
            <w:tcMar>
              <w:top w:w="60" w:type="dxa"/>
              <w:bottom w:w="60" w:type="dxa"/>
              <w:left w:w="100" w:type="dxa"/>
              <w:right w:w="100" w:type="dxa"/>
            </w:tcMar>
            <w:vAlign w:val="center"/>
          </w:tcPr>
          <w:p>
            <w:r/>
            <w:r>
              <w:rPr>
                <w:b/>
                <w:color w:val="FFFFFF"/>
                <w:sz w:val="19"/>
              </w:rPr>
              <w:t>After</w:t>
            </w:r>
          </w:p>
        </w:tc>
      </w:tr>
      <w:tr>
        <w:tc>
          <w:tcPr>
            <w:tcW w:type="dxa" w:w="3888"/>
            <w:shd w:val="clear" w:color="auto" w:fill="F2F4F6"/>
            <w:tcMar>
              <w:top w:w="60" w:type="dxa"/>
              <w:bottom w:w="60" w:type="dxa"/>
              <w:left w:w="100" w:type="dxa"/>
              <w:right w:w="100" w:type="dxa"/>
            </w:tcMar>
          </w:tcPr>
          <w:p>
            <w:pPr>
              <w:spacing w:before="0" w:after="0"/>
            </w:pPr>
            <w:r/>
            <w:r>
              <w:rPr>
                <w:color w:val="3C4752"/>
                <w:sz w:val="19"/>
              </w:rPr>
              <w:t>Searches job boards by keyword; cannot tell whether a listed requirement genuinely matches their own experience.</w:t>
            </w:r>
          </w:p>
        </w:tc>
        <w:tc>
          <w:tcPr>
            <w:tcW w:type="dxa" w:w="4752"/>
            <w:shd w:val="clear" w:color="auto" w:fill="F2F4F6"/>
            <w:tcMar>
              <w:top w:w="60" w:type="dxa"/>
              <w:bottom w:w="60" w:type="dxa"/>
              <w:left w:w="100" w:type="dxa"/>
              <w:right w:w="100" w:type="dxa"/>
            </w:tcMar>
          </w:tcPr>
          <w:p>
            <w:pPr>
              <w:spacing w:before="0" w:after="0"/>
            </w:pPr>
            <w:r/>
            <w:r>
              <w:rPr>
                <w:color w:val="3C4752"/>
                <w:sz w:val="19"/>
              </w:rPr>
              <w:t>States or discovers their skills against the national standard once, and is matched against every open vacancy on that basis.</w:t>
            </w:r>
          </w:p>
        </w:tc>
      </w:tr>
      <w:tr>
        <w:tc>
          <w:tcPr>
            <w:tcW w:type="dxa" w:w="3888"/>
            <w:shd w:val="clear" w:color="auto" w:fill="FFFFFF"/>
            <w:tcMar>
              <w:top w:w="60" w:type="dxa"/>
              <w:bottom w:w="60" w:type="dxa"/>
              <w:left w:w="100" w:type="dxa"/>
              <w:right w:w="100" w:type="dxa"/>
            </w:tcMar>
          </w:tcPr>
          <w:p>
            <w:pPr>
              <w:spacing w:before="0" w:after="0"/>
            </w:pPr>
            <w:r/>
            <w:r>
              <w:rPr>
                <w:color w:val="3C4752"/>
                <w:sz w:val="19"/>
              </w:rPr>
              <w:t>Picks a course by price and proximity, with no evidence it improves their prospects for a specific job.</w:t>
            </w:r>
          </w:p>
        </w:tc>
        <w:tc>
          <w:tcPr>
            <w:tcW w:type="dxa" w:w="4752"/>
            <w:shd w:val="clear" w:color="auto" w:fill="FFFFFF"/>
            <w:tcMar>
              <w:top w:w="60" w:type="dxa"/>
              <w:bottom w:w="60" w:type="dxa"/>
              <w:left w:w="100" w:type="dxa"/>
              <w:right w:w="100" w:type="dxa"/>
            </w:tcMar>
          </w:tcPr>
          <w:p>
            <w:pPr>
              <w:spacing w:before="0" w:after="0"/>
            </w:pPr>
            <w:r/>
            <w:r>
              <w:rPr>
                <w:color w:val="3C4752"/>
                <w:sz w:val="19"/>
              </w:rPr>
              <w:t>Is shown exactly which course closes the specific gap standing between them and a target role.</w:t>
            </w:r>
          </w:p>
        </w:tc>
      </w:tr>
      <w:tr>
        <w:tc>
          <w:tcPr>
            <w:tcW w:type="dxa" w:w="3888"/>
            <w:shd w:val="clear" w:color="auto" w:fill="F2F4F6"/>
            <w:tcMar>
              <w:top w:w="60" w:type="dxa"/>
              <w:bottom w:w="60" w:type="dxa"/>
              <w:left w:w="100" w:type="dxa"/>
              <w:right w:w="100" w:type="dxa"/>
            </w:tcMar>
          </w:tcPr>
          <w:p>
            <w:pPr>
              <w:spacing w:before="0" w:after="0"/>
            </w:pPr>
            <w:r/>
            <w:r>
              <w:rPr>
                <w:color w:val="3C4752"/>
                <w:sz w:val="19"/>
              </w:rPr>
              <w:t>Applies broadly and receives no explanation for silence or rejection.</w:t>
            </w:r>
          </w:p>
        </w:tc>
        <w:tc>
          <w:tcPr>
            <w:tcW w:type="dxa" w:w="4752"/>
            <w:shd w:val="clear" w:color="auto" w:fill="F2F4F6"/>
            <w:tcMar>
              <w:top w:w="60" w:type="dxa"/>
              <w:bottom w:w="60" w:type="dxa"/>
              <w:left w:w="100" w:type="dxa"/>
              <w:right w:w="100" w:type="dxa"/>
            </w:tcMar>
          </w:tcPr>
          <w:p>
            <w:pPr>
              <w:spacing w:before="0" w:after="0"/>
            </w:pPr>
            <w:r/>
            <w:r>
              <w:rPr>
                <w:color w:val="3C4752"/>
                <w:sz w:val="19"/>
              </w:rPr>
              <w:t>Sees, before applying, a scored, explained match — which standards they meet and which they do not.</w:t>
            </w:r>
          </w:p>
        </w:tc>
      </w:tr>
    </w:tbl>
    <w:p>
      <w:pPr>
        <w:spacing w:after="80"/>
      </w:pPr>
    </w:p>
    <w:p>
      <w:pPr>
        <w:pStyle w:val="Heading2"/>
      </w:pPr>
      <w:r>
        <w:t>8.2  Employer: Before and After</w:t>
      </w:r>
    </w:p>
    <w:tbl>
      <w:tblPr>
        <w:tblStyle w:val="TableGrid"/>
        <w:tblW w:type="auto" w:w="0"/>
        <w:jc w:val="center"/>
        <w:tblLayout w:type="autofit"/>
        <w:tblLook w:firstColumn="1" w:firstRow="1" w:lastColumn="0" w:lastRow="0" w:noHBand="0" w:noVBand="1" w:val="04A0"/>
      </w:tblPr>
      <w:tblGrid>
        <w:gridCol w:w="4706"/>
        <w:gridCol w:w="4706"/>
      </w:tblGrid>
      <w:tr>
        <w:tc>
          <w:tcPr>
            <w:tcW w:type="dxa" w:w="3888"/>
            <w:shd w:val="clear" w:color="auto" w:fill="0B2E4E"/>
            <w:tcMar>
              <w:top w:w="60" w:type="dxa"/>
              <w:bottom w:w="60" w:type="dxa"/>
              <w:left w:w="100" w:type="dxa"/>
              <w:right w:w="100" w:type="dxa"/>
            </w:tcMar>
            <w:vAlign w:val="center"/>
          </w:tcPr>
          <w:p>
            <w:r/>
            <w:r>
              <w:rPr>
                <w:b/>
                <w:color w:val="FFFFFF"/>
                <w:sz w:val="19"/>
              </w:rPr>
              <w:t>Before</w:t>
            </w:r>
          </w:p>
        </w:tc>
        <w:tc>
          <w:tcPr>
            <w:tcW w:type="dxa" w:w="4752"/>
            <w:shd w:val="clear" w:color="auto" w:fill="0B2E4E"/>
            <w:tcMar>
              <w:top w:w="60" w:type="dxa"/>
              <w:bottom w:w="60" w:type="dxa"/>
              <w:left w:w="100" w:type="dxa"/>
              <w:right w:w="100" w:type="dxa"/>
            </w:tcMar>
            <w:vAlign w:val="center"/>
          </w:tcPr>
          <w:p>
            <w:r/>
            <w:r>
              <w:rPr>
                <w:b/>
                <w:color w:val="FFFFFF"/>
                <w:sz w:val="19"/>
              </w:rPr>
              <w:t>After</w:t>
            </w:r>
          </w:p>
        </w:tc>
      </w:tr>
      <w:tr>
        <w:tc>
          <w:tcPr>
            <w:tcW w:type="dxa" w:w="3888"/>
            <w:shd w:val="clear" w:color="auto" w:fill="F2F4F6"/>
            <w:tcMar>
              <w:top w:w="60" w:type="dxa"/>
              <w:bottom w:w="60" w:type="dxa"/>
              <w:left w:w="100" w:type="dxa"/>
              <w:right w:w="100" w:type="dxa"/>
            </w:tcMar>
          </w:tcPr>
          <w:p>
            <w:pPr>
              <w:spacing w:before="0" w:after="0"/>
            </w:pPr>
            <w:r/>
            <w:r>
              <w:rPr>
                <w:color w:val="3C4752"/>
                <w:sz w:val="19"/>
              </w:rPr>
              <w:t>Screens a large volume of applicants manually against a vacancy described in free text.</w:t>
            </w:r>
          </w:p>
        </w:tc>
        <w:tc>
          <w:tcPr>
            <w:tcW w:type="dxa" w:w="4752"/>
            <w:shd w:val="clear" w:color="auto" w:fill="F2F4F6"/>
            <w:tcMar>
              <w:top w:w="60" w:type="dxa"/>
              <w:bottom w:w="60" w:type="dxa"/>
              <w:left w:w="100" w:type="dxa"/>
              <w:right w:w="100" w:type="dxa"/>
            </w:tcMar>
          </w:tcPr>
          <w:p>
            <w:pPr>
              <w:spacing w:before="0" w:after="0"/>
            </w:pPr>
            <w:r/>
            <w:r>
              <w:rPr>
                <w:color w:val="3C4752"/>
                <w:sz w:val="19"/>
              </w:rPr>
              <w:t>Publishes a vacancy decomposed into the exact standards it requires, and receives a ranked, explainable pool automatically.</w:t>
            </w:r>
          </w:p>
        </w:tc>
      </w:tr>
      <w:tr>
        <w:tc>
          <w:tcPr>
            <w:tcW w:type="dxa" w:w="3888"/>
            <w:shd w:val="clear" w:color="auto" w:fill="FFFFFF"/>
            <w:tcMar>
              <w:top w:w="60" w:type="dxa"/>
              <w:bottom w:w="60" w:type="dxa"/>
              <w:left w:w="100" w:type="dxa"/>
              <w:right w:w="100" w:type="dxa"/>
            </w:tcMar>
          </w:tcPr>
          <w:p>
            <w:pPr>
              <w:spacing w:before="0" w:after="0"/>
            </w:pPr>
            <w:r/>
            <w:r>
              <w:rPr>
                <w:color w:val="3C4752"/>
                <w:sz w:val="19"/>
              </w:rPr>
              <w:t>Cannot verify what a candidate’s self-reported skills or certificates actually mean.</w:t>
            </w:r>
          </w:p>
        </w:tc>
        <w:tc>
          <w:tcPr>
            <w:tcW w:type="dxa" w:w="4752"/>
            <w:shd w:val="clear" w:color="auto" w:fill="FFFFFF"/>
            <w:tcMar>
              <w:top w:w="60" w:type="dxa"/>
              <w:bottom w:w="60" w:type="dxa"/>
              <w:left w:w="100" w:type="dxa"/>
              <w:right w:w="100" w:type="dxa"/>
            </w:tcMar>
          </w:tcPr>
          <w:p>
            <w:pPr>
              <w:spacing w:before="0" w:after="0"/>
            </w:pPr>
            <w:r/>
            <w:r>
              <w:rPr>
                <w:color w:val="3C4752"/>
                <w:sz w:val="19"/>
              </w:rPr>
              <w:t>Sees each candidate’s standards weighted by how strongly they were evidenced.</w:t>
            </w:r>
          </w:p>
        </w:tc>
      </w:tr>
      <w:tr>
        <w:tc>
          <w:tcPr>
            <w:tcW w:type="dxa" w:w="3888"/>
            <w:shd w:val="clear" w:color="auto" w:fill="F2F4F6"/>
            <w:tcMar>
              <w:top w:w="60" w:type="dxa"/>
              <w:bottom w:w="60" w:type="dxa"/>
              <w:left w:w="100" w:type="dxa"/>
              <w:right w:w="100" w:type="dxa"/>
            </w:tcMar>
          </w:tcPr>
          <w:p>
            <w:pPr>
              <w:spacing w:before="0" w:after="0"/>
            </w:pPr>
            <w:r/>
            <w:r>
              <w:rPr>
                <w:color w:val="3C4752"/>
                <w:sz w:val="19"/>
              </w:rPr>
              <w:t>Manages hiring and a team through informal, ungoverned access.</w:t>
            </w:r>
          </w:p>
        </w:tc>
        <w:tc>
          <w:tcPr>
            <w:tcW w:type="dxa" w:w="4752"/>
            <w:shd w:val="clear" w:color="auto" w:fill="F2F4F6"/>
            <w:tcMar>
              <w:top w:w="60" w:type="dxa"/>
              <w:bottom w:w="60" w:type="dxa"/>
              <w:left w:w="100" w:type="dxa"/>
              <w:right w:w="100" w:type="dxa"/>
            </w:tcMar>
          </w:tcPr>
          <w:p>
            <w:pPr>
              <w:spacing w:before="0" w:after="0"/>
            </w:pPr>
            <w:r/>
            <w:r>
              <w:rPr>
                <w:color w:val="3C4752"/>
                <w:sz w:val="19"/>
              </w:rPr>
              <w:t>Runs hiring as an organisation with role-based team access and an auditable applicant pipeline.</w:t>
            </w:r>
          </w:p>
        </w:tc>
      </w:tr>
    </w:tbl>
    <w:p>
      <w:pPr>
        <w:spacing w:after="80"/>
      </w:pPr>
    </w:p>
    <w:p>
      <w:pPr>
        <w:pStyle w:val="Heading2"/>
      </w:pPr>
      <w:r>
        <w:t>8.3  Training Provider: Before and After</w:t>
      </w:r>
    </w:p>
    <w:tbl>
      <w:tblPr>
        <w:tblStyle w:val="TableGrid"/>
        <w:tblW w:type="auto" w:w="0"/>
        <w:jc w:val="center"/>
        <w:tblLayout w:type="autofit"/>
        <w:tblLook w:firstColumn="1" w:firstRow="1" w:lastColumn="0" w:lastRow="0" w:noHBand="0" w:noVBand="1" w:val="04A0"/>
      </w:tblPr>
      <w:tblGrid>
        <w:gridCol w:w="4706"/>
        <w:gridCol w:w="4706"/>
      </w:tblGrid>
      <w:tr>
        <w:tc>
          <w:tcPr>
            <w:tcW w:type="dxa" w:w="3888"/>
            <w:shd w:val="clear" w:color="auto" w:fill="0B2E4E"/>
            <w:tcMar>
              <w:top w:w="60" w:type="dxa"/>
              <w:bottom w:w="60" w:type="dxa"/>
              <w:left w:w="100" w:type="dxa"/>
              <w:right w:w="100" w:type="dxa"/>
            </w:tcMar>
            <w:vAlign w:val="center"/>
          </w:tcPr>
          <w:p>
            <w:r/>
            <w:r>
              <w:rPr>
                <w:b/>
                <w:color w:val="FFFFFF"/>
                <w:sz w:val="19"/>
              </w:rPr>
              <w:t>Before</w:t>
            </w:r>
          </w:p>
        </w:tc>
        <w:tc>
          <w:tcPr>
            <w:tcW w:type="dxa" w:w="4752"/>
            <w:shd w:val="clear" w:color="auto" w:fill="0B2E4E"/>
            <w:tcMar>
              <w:top w:w="60" w:type="dxa"/>
              <w:bottom w:w="60" w:type="dxa"/>
              <w:left w:w="100" w:type="dxa"/>
              <w:right w:w="100" w:type="dxa"/>
            </w:tcMar>
            <w:vAlign w:val="center"/>
          </w:tcPr>
          <w:p>
            <w:r/>
            <w:r>
              <w:rPr>
                <w:b/>
                <w:color w:val="FFFFFF"/>
                <w:sz w:val="19"/>
              </w:rPr>
              <w:t>After</w:t>
            </w:r>
          </w:p>
        </w:tc>
      </w:tr>
      <w:tr>
        <w:tc>
          <w:tcPr>
            <w:tcW w:type="dxa" w:w="3888"/>
            <w:shd w:val="clear" w:color="auto" w:fill="F2F4F6"/>
            <w:tcMar>
              <w:top w:w="60" w:type="dxa"/>
              <w:bottom w:w="60" w:type="dxa"/>
              <w:left w:w="100" w:type="dxa"/>
              <w:right w:w="100" w:type="dxa"/>
            </w:tcMar>
          </w:tcPr>
          <w:p>
            <w:pPr>
              <w:spacing w:before="0" w:after="0"/>
            </w:pPr>
            <w:r/>
            <w:r>
              <w:rPr>
                <w:color w:val="3C4752"/>
                <w:sz w:val="19"/>
              </w:rPr>
              <w:t>Publishes a course with no visibility into whether the market actually needs it.</w:t>
            </w:r>
          </w:p>
        </w:tc>
        <w:tc>
          <w:tcPr>
            <w:tcW w:type="dxa" w:w="4752"/>
            <w:shd w:val="clear" w:color="auto" w:fill="F2F4F6"/>
            <w:tcMar>
              <w:top w:w="60" w:type="dxa"/>
              <w:bottom w:w="60" w:type="dxa"/>
              <w:left w:w="100" w:type="dxa"/>
              <w:right w:w="100" w:type="dxa"/>
            </w:tcMar>
          </w:tcPr>
          <w:p>
            <w:pPr>
              <w:spacing w:before="0" w:after="0"/>
            </w:pPr>
            <w:r/>
            <w:r>
              <w:rPr>
                <w:color w:val="3C4752"/>
                <w:sz w:val="19"/>
              </w:rPr>
              <w:t>Publishes a course anchored to a national qualification, discoverable by every candidate whose computed gap it closes.</w:t>
            </w:r>
          </w:p>
        </w:tc>
      </w:tr>
      <w:tr>
        <w:tc>
          <w:tcPr>
            <w:tcW w:type="dxa" w:w="3888"/>
            <w:shd w:val="clear" w:color="auto" w:fill="FFFFFF"/>
            <w:tcMar>
              <w:top w:w="60" w:type="dxa"/>
              <w:bottom w:w="60" w:type="dxa"/>
              <w:left w:w="100" w:type="dxa"/>
              <w:right w:w="100" w:type="dxa"/>
            </w:tcMar>
          </w:tcPr>
          <w:p>
            <w:pPr>
              <w:spacing w:before="0" w:after="0"/>
            </w:pPr>
            <w:r/>
            <w:r>
              <w:rPr>
                <w:color w:val="3C4752"/>
                <w:sz w:val="19"/>
              </w:rPr>
              <w:t>Learns whether a course worked only anecdotally, long after a cohort has dispersed.</w:t>
            </w:r>
          </w:p>
        </w:tc>
        <w:tc>
          <w:tcPr>
            <w:tcW w:type="dxa" w:w="4752"/>
            <w:shd w:val="clear" w:color="auto" w:fill="FFFFFF"/>
            <w:tcMar>
              <w:top w:w="60" w:type="dxa"/>
              <w:bottom w:w="60" w:type="dxa"/>
              <w:left w:w="100" w:type="dxa"/>
              <w:right w:w="100" w:type="dxa"/>
            </w:tcMar>
          </w:tcPr>
          <w:p>
            <w:pPr>
              <w:spacing w:before="0" w:after="0"/>
            </w:pPr>
            <w:r/>
            <w:r>
              <w:rPr>
                <w:color w:val="3C4752"/>
                <w:sz w:val="19"/>
              </w:rPr>
              <w:t>Sees, in real time, who has registered genuine interest because the course closes a specific gap they have.</w:t>
            </w:r>
          </w:p>
        </w:tc>
      </w:tr>
    </w:tbl>
    <w:p>
      <w:pPr>
        <w:spacing w:after="80"/>
      </w:pPr>
    </w:p>
    <w:p>
      <w:r>
        <w:br w:type="page"/>
      </w:r>
    </w:p>
    <w:p>
      <w:pPr>
        <w:pStyle w:val="Heading1"/>
      </w:pPr>
      <w:r>
        <w:rPr>
          <w:color w:val="0F6E84"/>
        </w:rPr>
        <w:t xml:space="preserve">9  </w:t>
      </w:r>
      <w:r>
        <w:t>Success Criteria and Key Performance Indicators</w:t>
      </w:r>
    </w:p>
    <w:p>
      <w:r>
        <w:rPr>
          <w:b w:val="0"/>
          <w:i w:val="0"/>
        </w:rPr>
        <w:t>Because this release carries no revenue, the business has deliberately chosen three measurable proxies for success instead. All three are built into the platform’s own instrumentation (FRS §4.14), not left to be measured separately after the fact.</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2304"/>
            <w:shd w:val="clear" w:color="auto" w:fill="0B2E4E"/>
            <w:tcMar>
              <w:top w:w="60" w:type="dxa"/>
              <w:bottom w:w="60" w:type="dxa"/>
              <w:left w:w="100" w:type="dxa"/>
              <w:right w:w="100" w:type="dxa"/>
            </w:tcMar>
            <w:vAlign w:val="center"/>
          </w:tcPr>
          <w:p>
            <w:r/>
            <w:r>
              <w:rPr>
                <w:b/>
                <w:color w:val="FFFFFF"/>
                <w:sz w:val="19"/>
              </w:rPr>
              <w:t>Metric</w:t>
            </w:r>
          </w:p>
        </w:tc>
        <w:tc>
          <w:tcPr>
            <w:tcW w:type="dxa" w:w="3168"/>
            <w:shd w:val="clear" w:color="auto" w:fill="0B2E4E"/>
            <w:tcMar>
              <w:top w:w="60" w:type="dxa"/>
              <w:bottom w:w="60" w:type="dxa"/>
              <w:left w:w="100" w:type="dxa"/>
              <w:right w:w="100" w:type="dxa"/>
            </w:tcMar>
            <w:vAlign w:val="center"/>
          </w:tcPr>
          <w:p>
            <w:r/>
            <w:r>
              <w:rPr>
                <w:b/>
                <w:color w:val="FFFFFF"/>
                <w:sz w:val="19"/>
              </w:rPr>
              <w:t>What It Answers</w:t>
            </w:r>
          </w:p>
        </w:tc>
        <w:tc>
          <w:tcPr>
            <w:tcW w:type="dxa" w:w="3168"/>
            <w:shd w:val="clear" w:color="auto" w:fill="0B2E4E"/>
            <w:tcMar>
              <w:top w:w="60" w:type="dxa"/>
              <w:bottom w:w="60" w:type="dxa"/>
              <w:left w:w="100" w:type="dxa"/>
              <w:right w:w="100" w:type="dxa"/>
            </w:tcMar>
            <w:vAlign w:val="center"/>
          </w:tcPr>
          <w:p>
            <w:r/>
            <w:r>
              <w:rPr>
                <w:b/>
                <w:color w:val="FFFFFF"/>
                <w:sz w:val="19"/>
              </w:rPr>
              <w:t>How It Is Measured</w:t>
            </w:r>
          </w:p>
        </w:tc>
      </w:tr>
      <w:tr>
        <w:tc>
          <w:tcPr>
            <w:tcW w:type="dxa" w:w="2304"/>
            <w:shd w:val="clear" w:color="auto" w:fill="F2F4F6"/>
            <w:tcMar>
              <w:top w:w="60" w:type="dxa"/>
              <w:bottom w:w="60" w:type="dxa"/>
              <w:left w:w="100" w:type="dxa"/>
              <w:right w:w="100" w:type="dxa"/>
            </w:tcMar>
          </w:tcPr>
          <w:p>
            <w:pPr>
              <w:spacing w:before="0" w:after="0"/>
            </w:pPr>
            <w:r/>
            <w:r>
              <w:rPr>
                <w:color w:val="3C4752"/>
                <w:sz w:val="19"/>
              </w:rPr>
              <w:t>Recommendation precision</w:t>
            </w:r>
          </w:p>
        </w:tc>
        <w:tc>
          <w:tcPr>
            <w:tcW w:type="dxa" w:w="3168"/>
            <w:shd w:val="clear" w:color="auto" w:fill="F2F4F6"/>
            <w:tcMar>
              <w:top w:w="60" w:type="dxa"/>
              <w:bottom w:w="60" w:type="dxa"/>
              <w:left w:w="100" w:type="dxa"/>
              <w:right w:w="100" w:type="dxa"/>
            </w:tcMar>
          </w:tcPr>
          <w:p>
            <w:pPr>
              <w:spacing w:before="0" w:after="0"/>
            </w:pPr>
            <w:r/>
            <w:r>
              <w:rPr>
                <w:color w:val="3C4752"/>
                <w:sz w:val="19"/>
              </w:rPr>
              <w:t>Are the platform’s matches actually good, not merely produced?</w:t>
            </w:r>
          </w:p>
        </w:tc>
        <w:tc>
          <w:tcPr>
            <w:tcW w:type="dxa" w:w="3168"/>
            <w:shd w:val="clear" w:color="auto" w:fill="F2F4F6"/>
            <w:tcMar>
              <w:top w:w="60" w:type="dxa"/>
              <w:bottom w:w="60" w:type="dxa"/>
              <w:left w:w="100" w:type="dxa"/>
              <w:right w:w="100" w:type="dxa"/>
            </w:tcMar>
          </w:tcPr>
          <w:p>
            <w:pPr>
              <w:spacing w:before="0" w:after="0"/>
            </w:pPr>
            <w:r/>
            <w:r>
              <w:rPr>
                <w:color w:val="3C4752"/>
                <w:sz w:val="19"/>
              </w:rPr>
              <w:t>Measured against a hand-labelled reference set of known-correct candidate-to-job and gap-to-course pairings, checked automatically whenever the matching logic changes.</w:t>
            </w:r>
          </w:p>
        </w:tc>
      </w:tr>
      <w:tr>
        <w:tc>
          <w:tcPr>
            <w:tcW w:type="dxa" w:w="2304"/>
            <w:shd w:val="clear" w:color="auto" w:fill="FFFFFF"/>
            <w:tcMar>
              <w:top w:w="60" w:type="dxa"/>
              <w:bottom w:w="60" w:type="dxa"/>
              <w:left w:w="100" w:type="dxa"/>
              <w:right w:w="100" w:type="dxa"/>
            </w:tcMar>
          </w:tcPr>
          <w:p>
            <w:pPr>
              <w:spacing w:before="0" w:after="0"/>
            </w:pPr>
            <w:r/>
            <w:r>
              <w:rPr>
                <w:color w:val="3C4752"/>
                <w:sz w:val="19"/>
              </w:rPr>
              <w:t>Candidate-to-course click-through</w:t>
            </w:r>
          </w:p>
        </w:tc>
        <w:tc>
          <w:tcPr>
            <w:tcW w:type="dxa" w:w="3168"/>
            <w:shd w:val="clear" w:color="auto" w:fill="FFFFFF"/>
            <w:tcMar>
              <w:top w:w="60" w:type="dxa"/>
              <w:bottom w:w="60" w:type="dxa"/>
              <w:left w:w="100" w:type="dxa"/>
              <w:right w:w="100" w:type="dxa"/>
            </w:tcMar>
          </w:tcPr>
          <w:p>
            <w:pPr>
              <w:spacing w:before="0" w:after="0"/>
            </w:pPr>
            <w:r/>
            <w:r>
              <w:rPr>
                <w:color w:val="3C4752"/>
                <w:sz w:val="19"/>
              </w:rPr>
              <w:t>Is a recommended course compelling enough for a candidate to act on it?</w:t>
            </w:r>
          </w:p>
        </w:tc>
        <w:tc>
          <w:tcPr>
            <w:tcW w:type="dxa" w:w="3168"/>
            <w:shd w:val="clear" w:color="auto" w:fill="FFFFFF"/>
            <w:tcMar>
              <w:top w:w="60" w:type="dxa"/>
              <w:bottom w:w="60" w:type="dxa"/>
              <w:left w:w="100" w:type="dxa"/>
              <w:right w:w="100" w:type="dxa"/>
            </w:tcMar>
          </w:tcPr>
          <w:p>
            <w:pPr>
              <w:spacing w:before="0" w:after="0"/>
            </w:pPr>
            <w:r/>
            <w:r>
              <w:rPr>
                <w:color w:val="3C4752"/>
                <w:sz w:val="19"/>
              </w:rPr>
              <w:t>Recorded as an analytics event every time a recommended course is opened, attributable back to the specific gap it was recommended for.</w:t>
            </w:r>
          </w:p>
        </w:tc>
      </w:tr>
      <w:tr>
        <w:tc>
          <w:tcPr>
            <w:tcW w:type="dxa" w:w="2304"/>
            <w:shd w:val="clear" w:color="auto" w:fill="F2F4F6"/>
            <w:tcMar>
              <w:top w:w="60" w:type="dxa"/>
              <w:bottom w:w="60" w:type="dxa"/>
              <w:left w:w="100" w:type="dxa"/>
              <w:right w:w="100" w:type="dxa"/>
            </w:tcMar>
          </w:tcPr>
          <w:p>
            <w:pPr>
              <w:spacing w:before="0" w:after="0"/>
            </w:pPr>
            <w:r/>
            <w:r>
              <w:rPr>
                <w:color w:val="3C4752"/>
                <w:sz w:val="19"/>
              </w:rPr>
              <w:t>Provider-reported enrolment conversion</w:t>
            </w:r>
          </w:p>
        </w:tc>
        <w:tc>
          <w:tcPr>
            <w:tcW w:type="dxa" w:w="3168"/>
            <w:shd w:val="clear" w:color="auto" w:fill="F2F4F6"/>
            <w:tcMar>
              <w:top w:w="60" w:type="dxa"/>
              <w:bottom w:w="60" w:type="dxa"/>
              <w:left w:w="100" w:type="dxa"/>
              <w:right w:w="100" w:type="dxa"/>
            </w:tcMar>
          </w:tcPr>
          <w:p>
            <w:pPr>
              <w:spacing w:before="0" w:after="0"/>
            </w:pPr>
            <w:r/>
            <w:r>
              <w:rPr>
                <w:color w:val="3C4752"/>
                <w:sz w:val="19"/>
              </w:rPr>
              <w:t>Does the platform’s recommendation actually translate into a real enrolment?</w:t>
            </w:r>
          </w:p>
        </w:tc>
        <w:tc>
          <w:tcPr>
            <w:tcW w:type="dxa" w:w="3168"/>
            <w:shd w:val="clear" w:color="auto" w:fill="F2F4F6"/>
            <w:tcMar>
              <w:top w:w="60" w:type="dxa"/>
              <w:bottom w:w="60" w:type="dxa"/>
              <w:left w:w="100" w:type="dxa"/>
              <w:right w:w="100" w:type="dxa"/>
            </w:tcMar>
          </w:tcPr>
          <w:p>
            <w:pPr>
              <w:spacing w:before="0" w:after="0"/>
            </w:pPr>
            <w:r/>
            <w:r>
              <w:rPr>
                <w:color w:val="3C4752"/>
                <w:sz w:val="19"/>
              </w:rPr>
              <w:t>Reported by the training provider, since enrolment itself happens in the provider’s own system, outside the platform’s direct visibility.</w:t>
            </w:r>
          </w:p>
        </w:tc>
      </w:tr>
    </w:tbl>
    <w:p>
      <w:pPr>
        <w:spacing w:after="80"/>
      </w:pPr>
    </w:p>
    <w:p>
      <w:r>
        <w:rPr>
          <w:b w:val="0"/>
          <w:i w:val="0"/>
        </w:rPr>
        <w:t>A successor decision — covering any future monetisation model — is required to cite these three metrics before it is approved. This is a standing constraint on the business, not merely a suggestion for how to measure progress.</w:t>
      </w:r>
    </w:p>
    <w:p>
      <w:pPr>
        <w:pStyle w:val="Heading2"/>
      </w:pPr>
      <w:r>
        <w:t>9.1  Adoption Indicators (Business-Level, Not Yet Formally Targeted)</w:t>
      </w:r>
    </w:p>
    <w:p>
      <w:r>
        <w:rPr>
          <w:b w:val="0"/>
          <w:i w:val="0"/>
        </w:rPr>
        <w:t>The following are the categories of adoption evidence a business review should expect to see reported over time. This document deliberately does not set numeric targets for them: doing so without a baseline period of real usage would be a guess presented as a plan, which the business sponsor should set once early usage data exists.</w:t>
      </w:r>
    </w:p>
    <w:p>
      <w:pPr>
        <w:pStyle w:val="ListBullet"/>
        <w:spacing w:before="0" w:after="60"/>
      </w:pPr>
      <w:r>
        <w:t>Registered candidates, and the share who complete a usable skill profile.</w:t>
      </w:r>
    </w:p>
    <w:p>
      <w:pPr>
        <w:pStyle w:val="ListBullet"/>
        <w:spacing w:before="0" w:after="60"/>
      </w:pPr>
      <w:r>
        <w:t>Registered organisations (employers and training providers), and the share who publish at least one active listing.</w:t>
      </w:r>
    </w:p>
    <w:p>
      <w:pPr>
        <w:pStyle w:val="ListBullet"/>
        <w:spacing w:before="0" w:after="60"/>
      </w:pPr>
      <w:r>
        <w:t>Applications submitted and their outcome distribution (shortlisted, hired, rejected, withdrawn).</w:t>
      </w:r>
    </w:p>
    <w:p>
      <w:pPr>
        <w:pStyle w:val="ListBullet"/>
        <w:spacing w:before="0" w:after="60"/>
      </w:pPr>
      <w:r>
        <w:t>Course interests registered and the share the provider marks as contacted.</w:t>
      </w:r>
    </w:p>
    <w:p>
      <w:r>
        <w:br w:type="page"/>
      </w:r>
    </w:p>
    <w:p>
      <w:pPr>
        <w:pStyle w:val="Heading1"/>
      </w:pPr>
      <w:r>
        <w:rPr>
          <w:color w:val="0F6E84"/>
        </w:rPr>
        <w:t xml:space="preserve">10  </w:t>
      </w:r>
      <w:r>
        <w:t>Market and Competitive Positioning</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1872"/>
            <w:shd w:val="clear" w:color="auto" w:fill="0B2E4E"/>
            <w:tcMar>
              <w:top w:w="60" w:type="dxa"/>
              <w:bottom w:w="60" w:type="dxa"/>
              <w:left w:w="100" w:type="dxa"/>
              <w:right w:w="100" w:type="dxa"/>
            </w:tcMar>
            <w:vAlign w:val="center"/>
          </w:tcPr>
          <w:p>
            <w:r/>
            <w:r>
              <w:rPr>
                <w:b/>
                <w:color w:val="FFFFFF"/>
                <w:sz w:val="19"/>
              </w:rPr>
              <w:t>Dimension</w:t>
            </w:r>
          </w:p>
        </w:tc>
        <w:tc>
          <w:tcPr>
            <w:tcW w:type="dxa" w:w="2880"/>
            <w:shd w:val="clear" w:color="auto" w:fill="0B2E4E"/>
            <w:tcMar>
              <w:top w:w="60" w:type="dxa"/>
              <w:bottom w:w="60" w:type="dxa"/>
              <w:left w:w="100" w:type="dxa"/>
              <w:right w:w="100" w:type="dxa"/>
            </w:tcMar>
            <w:vAlign w:val="center"/>
          </w:tcPr>
          <w:p>
            <w:r/>
            <w:r>
              <w:rPr>
                <w:b/>
                <w:color w:val="FFFFFF"/>
                <w:sz w:val="19"/>
              </w:rPr>
              <w:t>Position</w:t>
            </w:r>
          </w:p>
        </w:tc>
        <w:tc>
          <w:tcPr>
            <w:tcW w:type="dxa" w:w="3888"/>
            <w:shd w:val="clear" w:color="auto" w:fill="0B2E4E"/>
            <w:tcMar>
              <w:top w:w="60" w:type="dxa"/>
              <w:bottom w:w="60" w:type="dxa"/>
              <w:left w:w="100" w:type="dxa"/>
              <w:right w:w="100" w:type="dxa"/>
            </w:tcMar>
            <w:vAlign w:val="center"/>
          </w:tcPr>
          <w:p>
            <w:r/>
            <w:r>
              <w:rPr>
                <w:b/>
                <w:color w:val="FFFFFF"/>
                <w:sz w:val="19"/>
              </w:rPr>
              <w:t>Reasoning</w:t>
            </w:r>
          </w:p>
        </w:tc>
      </w:tr>
      <w:tr>
        <w:tc>
          <w:tcPr>
            <w:tcW w:type="dxa" w:w="1872"/>
            <w:shd w:val="clear" w:color="auto" w:fill="F2F4F6"/>
            <w:tcMar>
              <w:top w:w="60" w:type="dxa"/>
              <w:bottom w:w="60" w:type="dxa"/>
              <w:left w:w="100" w:type="dxa"/>
              <w:right w:w="100" w:type="dxa"/>
            </w:tcMar>
          </w:tcPr>
          <w:p>
            <w:pPr>
              <w:spacing w:before="0" w:after="0"/>
            </w:pPr>
            <w:r/>
            <w:r>
              <w:rPr>
                <w:color w:val="3C4752"/>
                <w:sz w:val="19"/>
              </w:rPr>
              <w:t>Geography</w:t>
            </w:r>
          </w:p>
        </w:tc>
        <w:tc>
          <w:tcPr>
            <w:tcW w:type="dxa" w:w="2880"/>
            <w:shd w:val="clear" w:color="auto" w:fill="F2F4F6"/>
            <w:tcMar>
              <w:top w:w="60" w:type="dxa"/>
              <w:bottom w:w="60" w:type="dxa"/>
              <w:left w:w="100" w:type="dxa"/>
              <w:right w:w="100" w:type="dxa"/>
            </w:tcMar>
          </w:tcPr>
          <w:p>
            <w:pPr>
              <w:spacing w:before="0" w:after="0"/>
            </w:pPr>
            <w:r/>
            <w:r>
              <w:rPr>
                <w:color w:val="3C4752"/>
                <w:sz w:val="19"/>
              </w:rPr>
              <w:t>India-first; global later</w:t>
            </w:r>
          </w:p>
        </w:tc>
        <w:tc>
          <w:tcPr>
            <w:tcW w:type="dxa" w:w="3888"/>
            <w:shd w:val="clear" w:color="auto" w:fill="F2F4F6"/>
            <w:tcMar>
              <w:top w:w="60" w:type="dxa"/>
              <w:bottom w:w="60" w:type="dxa"/>
              <w:left w:w="100" w:type="dxa"/>
              <w:right w:w="100" w:type="dxa"/>
            </w:tcMar>
          </w:tcPr>
          <w:p>
            <w:pPr>
              <w:spacing w:before="0" w:after="0"/>
            </w:pPr>
            <w:r/>
            <w:r>
              <w:rPr>
                <w:color w:val="3C4752"/>
                <w:sz w:val="19"/>
              </w:rPr>
              <w:t>The taxonomy is India-specific by content but framework-agnostic by design, so another country’s national framework can be added without rebuilding the platform.</w:t>
            </w:r>
          </w:p>
        </w:tc>
      </w:tr>
      <w:tr>
        <w:tc>
          <w:tcPr>
            <w:tcW w:type="dxa" w:w="1872"/>
            <w:shd w:val="clear" w:color="auto" w:fill="FFFFFF"/>
            <w:tcMar>
              <w:top w:w="60" w:type="dxa"/>
              <w:bottom w:w="60" w:type="dxa"/>
              <w:left w:w="100" w:type="dxa"/>
              <w:right w:w="100" w:type="dxa"/>
            </w:tcMar>
          </w:tcPr>
          <w:p>
            <w:pPr>
              <w:spacing w:before="0" w:after="0"/>
            </w:pPr>
            <w:r/>
            <w:r>
              <w:rPr>
                <w:color w:val="3C4752"/>
                <w:sz w:val="19"/>
              </w:rPr>
              <w:t>Sector</w:t>
            </w:r>
          </w:p>
        </w:tc>
        <w:tc>
          <w:tcPr>
            <w:tcW w:type="dxa" w:w="2880"/>
            <w:shd w:val="clear" w:color="auto" w:fill="FFFFFF"/>
            <w:tcMar>
              <w:top w:w="60" w:type="dxa"/>
              <w:bottom w:w="60" w:type="dxa"/>
              <w:left w:w="100" w:type="dxa"/>
              <w:right w:w="100" w:type="dxa"/>
            </w:tcMar>
          </w:tcPr>
          <w:p>
            <w:pPr>
              <w:spacing w:before="0" w:after="0"/>
            </w:pPr>
            <w:r/>
            <w:r>
              <w:rPr>
                <w:color w:val="3C4752"/>
                <w:sz w:val="19"/>
              </w:rPr>
              <w:t>Multi-sector, taxonomy-first</w:t>
            </w:r>
          </w:p>
        </w:tc>
        <w:tc>
          <w:tcPr>
            <w:tcW w:type="dxa" w:w="3888"/>
            <w:shd w:val="clear" w:color="auto" w:fill="FFFFFF"/>
            <w:tcMar>
              <w:top w:w="60" w:type="dxa"/>
              <w:bottom w:w="60" w:type="dxa"/>
              <w:left w:w="100" w:type="dxa"/>
              <w:right w:w="100" w:type="dxa"/>
            </w:tcMar>
          </w:tcPr>
          <w:p>
            <w:pPr>
              <w:spacing w:before="0" w:after="0"/>
            </w:pPr>
            <w:r/>
            <w:r>
              <w:rPr>
                <w:color w:val="3C4752"/>
                <w:sz w:val="19"/>
              </w:rPr>
              <w:t>The taxonomy is sector-agnostic by construction; constraining it to one sector at the outset would have saved little and made later expansion a rebuild rather than a data load.</w:t>
            </w:r>
          </w:p>
        </w:tc>
      </w:tr>
      <w:tr>
        <w:tc>
          <w:tcPr>
            <w:tcW w:type="dxa" w:w="1872"/>
            <w:shd w:val="clear" w:color="auto" w:fill="F2F4F6"/>
            <w:tcMar>
              <w:top w:w="60" w:type="dxa"/>
              <w:bottom w:w="60" w:type="dxa"/>
              <w:left w:w="100" w:type="dxa"/>
              <w:right w:w="100" w:type="dxa"/>
            </w:tcMar>
          </w:tcPr>
          <w:p>
            <w:pPr>
              <w:spacing w:before="0" w:after="0"/>
            </w:pPr>
            <w:r/>
            <w:r>
              <w:rPr>
                <w:color w:val="3C4752"/>
                <w:sz w:val="19"/>
              </w:rPr>
              <w:t>Customer sequencing</w:t>
            </w:r>
          </w:p>
        </w:tc>
        <w:tc>
          <w:tcPr>
            <w:tcW w:type="dxa" w:w="2880"/>
            <w:shd w:val="clear" w:color="auto" w:fill="F2F4F6"/>
            <w:tcMar>
              <w:top w:w="60" w:type="dxa"/>
              <w:bottom w:w="60" w:type="dxa"/>
              <w:left w:w="100" w:type="dxa"/>
              <w:right w:w="100" w:type="dxa"/>
            </w:tcMar>
          </w:tcPr>
          <w:p>
            <w:pPr>
              <w:spacing w:before="0" w:after="0"/>
            </w:pPr>
            <w:r/>
            <w:r>
              <w:rPr>
                <w:color w:val="3C4752"/>
                <w:sz w:val="19"/>
              </w:rPr>
              <w:t>Individual candidates first, then employers and providers</w:t>
            </w:r>
          </w:p>
        </w:tc>
        <w:tc>
          <w:tcPr>
            <w:tcW w:type="dxa" w:w="3888"/>
            <w:shd w:val="clear" w:color="auto" w:fill="F2F4F6"/>
            <w:tcMar>
              <w:top w:w="60" w:type="dxa"/>
              <w:bottom w:w="60" w:type="dxa"/>
              <w:left w:w="100" w:type="dxa"/>
              <w:right w:w="100" w:type="dxa"/>
            </w:tcMar>
          </w:tcPr>
          <w:p>
            <w:pPr>
              <w:spacing w:before="0" w:after="0"/>
            </w:pPr>
            <w:r/>
            <w:r>
              <w:rPr>
                <w:color w:val="3C4752"/>
                <w:sz w:val="19"/>
              </w:rPr>
              <w:t>The hardest version of the matching problem is proven first, before the business-to-business distribution motion is layered on.</w:t>
            </w:r>
          </w:p>
        </w:tc>
      </w:tr>
      <w:tr>
        <w:tc>
          <w:tcPr>
            <w:tcW w:type="dxa" w:w="1872"/>
            <w:shd w:val="clear" w:color="auto" w:fill="FFFFFF"/>
            <w:tcMar>
              <w:top w:w="60" w:type="dxa"/>
              <w:bottom w:w="60" w:type="dxa"/>
              <w:left w:w="100" w:type="dxa"/>
              <w:right w:w="100" w:type="dxa"/>
            </w:tcMar>
          </w:tcPr>
          <w:p>
            <w:pPr>
              <w:spacing w:before="0" w:after="0"/>
            </w:pPr>
            <w:r/>
            <w:r>
              <w:rPr>
                <w:color w:val="3C4752"/>
                <w:sz w:val="19"/>
              </w:rPr>
              <w:t>Supply model</w:t>
            </w:r>
          </w:p>
        </w:tc>
        <w:tc>
          <w:tcPr>
            <w:tcW w:type="dxa" w:w="2880"/>
            <w:shd w:val="clear" w:color="auto" w:fill="FFFFFF"/>
            <w:tcMar>
              <w:top w:w="60" w:type="dxa"/>
              <w:bottom w:w="60" w:type="dxa"/>
              <w:left w:w="100" w:type="dxa"/>
              <w:right w:w="100" w:type="dxa"/>
            </w:tcMar>
          </w:tcPr>
          <w:p>
            <w:pPr>
              <w:spacing w:before="0" w:after="0"/>
            </w:pPr>
            <w:r/>
            <w:r>
              <w:rPr>
                <w:color w:val="3C4752"/>
                <w:sz w:val="19"/>
              </w:rPr>
              <w:t>Hybrid: internal seeding plus self-serve publishing</w:t>
            </w:r>
          </w:p>
        </w:tc>
        <w:tc>
          <w:tcPr>
            <w:tcW w:type="dxa" w:w="3888"/>
            <w:shd w:val="clear" w:color="auto" w:fill="FFFFFF"/>
            <w:tcMar>
              <w:top w:w="60" w:type="dxa"/>
              <w:bottom w:w="60" w:type="dxa"/>
              <w:left w:w="100" w:type="dxa"/>
              <w:right w:w="100" w:type="dxa"/>
            </w:tcMar>
          </w:tcPr>
          <w:p>
            <w:pPr>
              <w:spacing w:before="0" w:after="0"/>
            </w:pPr>
            <w:r/>
            <w:r>
              <w:rPr>
                <w:color w:val="3C4752"/>
                <w:sz w:val="19"/>
              </w:rPr>
              <w:t>Seeding produces usable inventory immediately; self-serve is the scalable long-term path, built on the same rules from day one.</w:t>
            </w:r>
          </w:p>
        </w:tc>
      </w:tr>
      <w:tr>
        <w:tc>
          <w:tcPr>
            <w:tcW w:type="dxa" w:w="1872"/>
            <w:shd w:val="clear" w:color="auto" w:fill="F2F4F6"/>
            <w:tcMar>
              <w:top w:w="60" w:type="dxa"/>
              <w:bottom w:w="60" w:type="dxa"/>
              <w:left w:w="100" w:type="dxa"/>
              <w:right w:w="100" w:type="dxa"/>
            </w:tcMar>
          </w:tcPr>
          <w:p>
            <w:pPr>
              <w:spacing w:before="0" w:after="0"/>
            </w:pPr>
            <w:r/>
            <w:r>
              <w:rPr>
                <w:color w:val="3C4752"/>
                <w:sz w:val="19"/>
              </w:rPr>
              <w:t>Pricing</w:t>
            </w:r>
          </w:p>
        </w:tc>
        <w:tc>
          <w:tcPr>
            <w:tcW w:type="dxa" w:w="2880"/>
            <w:shd w:val="clear" w:color="auto" w:fill="F2F4F6"/>
            <w:tcMar>
              <w:top w:w="60" w:type="dxa"/>
              <w:bottom w:w="60" w:type="dxa"/>
              <w:left w:w="100" w:type="dxa"/>
              <w:right w:w="100" w:type="dxa"/>
            </w:tcMar>
          </w:tcPr>
          <w:p>
            <w:pPr>
              <w:spacing w:before="0" w:after="0"/>
            </w:pPr>
            <w:r/>
            <w:r>
              <w:rPr>
                <w:color w:val="3C4752"/>
                <w:sz w:val="19"/>
              </w:rPr>
              <w:t>Free in this release</w:t>
            </w:r>
          </w:p>
        </w:tc>
        <w:tc>
          <w:tcPr>
            <w:tcW w:type="dxa" w:w="3888"/>
            <w:shd w:val="clear" w:color="auto" w:fill="F2F4F6"/>
            <w:tcMar>
              <w:top w:w="60" w:type="dxa"/>
              <w:bottom w:w="60" w:type="dxa"/>
              <w:left w:w="100" w:type="dxa"/>
              <w:right w:w="100" w:type="dxa"/>
            </w:tcMar>
          </w:tcPr>
          <w:p>
            <w:pPr>
              <w:spacing w:before="0" w:after="0"/>
            </w:pPr>
            <w:r/>
            <w:r>
              <w:rPr>
                <w:color w:val="3C4752"/>
                <w:sz w:val="19"/>
              </w:rPr>
              <w:t>Direct willingness to pay in this cohort is low and unproven; the business measures quality first (Section 9).</w:t>
            </w:r>
          </w:p>
        </w:tc>
      </w:tr>
      <w:tr>
        <w:tc>
          <w:tcPr>
            <w:tcW w:type="dxa" w:w="1872"/>
            <w:shd w:val="clear" w:color="auto" w:fill="FFFFFF"/>
            <w:tcMar>
              <w:top w:w="60" w:type="dxa"/>
              <w:bottom w:w="60" w:type="dxa"/>
              <w:left w:w="100" w:type="dxa"/>
              <w:right w:w="100" w:type="dxa"/>
            </w:tcMar>
          </w:tcPr>
          <w:p>
            <w:pPr>
              <w:spacing w:before="0" w:after="0"/>
            </w:pPr>
            <w:r/>
            <w:r>
              <w:rPr>
                <w:color w:val="3C4752"/>
                <w:sz w:val="19"/>
              </w:rPr>
              <w:t>Language</w:t>
            </w:r>
          </w:p>
        </w:tc>
        <w:tc>
          <w:tcPr>
            <w:tcW w:type="dxa" w:w="2880"/>
            <w:shd w:val="clear" w:color="auto" w:fill="FFFFFF"/>
            <w:tcMar>
              <w:top w:w="60" w:type="dxa"/>
              <w:bottom w:w="60" w:type="dxa"/>
              <w:left w:w="100" w:type="dxa"/>
              <w:right w:w="100" w:type="dxa"/>
            </w:tcMar>
          </w:tcPr>
          <w:p>
            <w:pPr>
              <w:spacing w:before="0" w:after="0"/>
            </w:pPr>
            <w:r/>
            <w:r>
              <w:rPr>
                <w:color w:val="3C4752"/>
                <w:sz w:val="19"/>
              </w:rPr>
              <w:t>Hindi and English at launch</w:t>
            </w:r>
          </w:p>
        </w:tc>
        <w:tc>
          <w:tcPr>
            <w:tcW w:type="dxa" w:w="3888"/>
            <w:shd w:val="clear" w:color="auto" w:fill="FFFFFF"/>
            <w:tcMar>
              <w:top w:w="60" w:type="dxa"/>
              <w:bottom w:w="60" w:type="dxa"/>
              <w:left w:w="100" w:type="dxa"/>
              <w:right w:w="100" w:type="dxa"/>
            </w:tcMar>
          </w:tcPr>
          <w:p>
            <w:pPr>
              <w:spacing w:before="0" w:after="0"/>
            </w:pPr>
            <w:r/>
            <w:r>
              <w:rPr>
                <w:color w:val="3C4752"/>
                <w:sz w:val="19"/>
              </w:rPr>
              <w:t>The target cohort is substantially not English-first; launching English-only would exclude much of the intended user base.</w:t>
            </w:r>
          </w:p>
        </w:tc>
      </w:tr>
    </w:tbl>
    <w:p>
      <w:pPr>
        <w:spacing w:after="80"/>
      </w:pPr>
    </w:p>
    <w:p>
      <w:r>
        <w:rPr>
          <w:b w:val="0"/>
          <w:i w:val="0"/>
        </w:rPr>
        <w:t>What makes this position defensible is not the listings, which any directory can offer, but the graph connecting them and the deterministic scoring that reasons over it — an asset that improves with every completed course, every assessment result and every observed hiring outcome, and that a competitor entering the same market would need to rebuild from the same national data source this platform already ingests.</w:t>
      </w:r>
    </w:p>
    <w:p>
      <w:r>
        <w:br w:type="page"/>
      </w:r>
    </w:p>
    <w:p>
      <w:pPr>
        <w:pStyle w:val="Heading1"/>
      </w:pPr>
      <w:r>
        <w:rPr>
          <w:color w:val="0F6E84"/>
        </w:rPr>
        <w:t xml:space="preserve">11  </w:t>
      </w:r>
      <w:r>
        <w:t>Business Risks</w:t>
      </w:r>
    </w:p>
    <w:p>
      <w:r>
        <w:rPr>
          <w:b w:val="0"/>
          <w:i w:val="0"/>
        </w:rPr>
        <w:t>Recorded honestly, as they stand today, rather than softened for presentation.</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2160"/>
            <w:shd w:val="clear" w:color="auto" w:fill="0B2E4E"/>
            <w:tcMar>
              <w:top w:w="60" w:type="dxa"/>
              <w:bottom w:w="60" w:type="dxa"/>
              <w:left w:w="100" w:type="dxa"/>
              <w:right w:w="100" w:type="dxa"/>
            </w:tcMar>
            <w:vAlign w:val="center"/>
          </w:tcPr>
          <w:p>
            <w:r/>
            <w:r>
              <w:rPr>
                <w:b/>
                <w:color w:val="FFFFFF"/>
                <w:sz w:val="19"/>
              </w:rPr>
              <w:t>Risk</w:t>
            </w:r>
          </w:p>
        </w:tc>
        <w:tc>
          <w:tcPr>
            <w:tcW w:type="dxa" w:w="3888"/>
            <w:shd w:val="clear" w:color="auto" w:fill="0B2E4E"/>
            <w:tcMar>
              <w:top w:w="60" w:type="dxa"/>
              <w:bottom w:w="60" w:type="dxa"/>
              <w:left w:w="100" w:type="dxa"/>
              <w:right w:w="100" w:type="dxa"/>
            </w:tcMar>
            <w:vAlign w:val="center"/>
          </w:tcPr>
          <w:p>
            <w:r/>
            <w:r>
              <w:rPr>
                <w:b/>
                <w:color w:val="FFFFFF"/>
                <w:sz w:val="19"/>
              </w:rPr>
              <w:t>Description</w:t>
            </w:r>
          </w:p>
        </w:tc>
        <w:tc>
          <w:tcPr>
            <w:tcW w:type="dxa" w:w="2592"/>
            <w:shd w:val="clear" w:color="auto" w:fill="0B2E4E"/>
            <w:tcMar>
              <w:top w:w="60" w:type="dxa"/>
              <w:bottom w:w="60" w:type="dxa"/>
              <w:left w:w="100" w:type="dxa"/>
              <w:right w:w="100" w:type="dxa"/>
            </w:tcMar>
            <w:vAlign w:val="center"/>
          </w:tcPr>
          <w:p>
            <w:r/>
            <w:r>
              <w:rPr>
                <w:b/>
                <w:color w:val="FFFFFF"/>
                <w:sz w:val="19"/>
              </w:rPr>
              <w:t>Current Position</w:t>
            </w:r>
          </w:p>
        </w:tc>
      </w:tr>
      <w:tr>
        <w:tc>
          <w:tcPr>
            <w:tcW w:type="dxa" w:w="2160"/>
            <w:shd w:val="clear" w:color="auto" w:fill="F2F4F6"/>
            <w:tcMar>
              <w:top w:w="60" w:type="dxa"/>
              <w:bottom w:w="60" w:type="dxa"/>
              <w:left w:w="100" w:type="dxa"/>
              <w:right w:w="100" w:type="dxa"/>
            </w:tcMar>
          </w:tcPr>
          <w:p>
            <w:pPr>
              <w:spacing w:before="0" w:after="0"/>
            </w:pPr>
            <w:r/>
            <w:r>
              <w:rPr>
                <w:color w:val="3C4752"/>
                <w:sz w:val="19"/>
              </w:rPr>
              <w:t>Two-sided cold start</w:t>
            </w:r>
          </w:p>
        </w:tc>
        <w:tc>
          <w:tcPr>
            <w:tcW w:type="dxa" w:w="3888"/>
            <w:shd w:val="clear" w:color="auto" w:fill="F2F4F6"/>
            <w:tcMar>
              <w:top w:w="60" w:type="dxa"/>
              <w:bottom w:w="60" w:type="dxa"/>
              <w:left w:w="100" w:type="dxa"/>
              <w:right w:w="100" w:type="dxa"/>
            </w:tcMar>
          </w:tcPr>
          <w:p>
            <w:pPr>
              <w:spacing w:before="0" w:after="0"/>
            </w:pPr>
            <w:r/>
            <w:r>
              <w:rPr>
                <w:color w:val="3C4752"/>
                <w:sz w:val="19"/>
              </w:rPr>
              <w:t>Candidates will not come without opportunities; organisations will not publish without candidates.</w:t>
            </w:r>
          </w:p>
        </w:tc>
        <w:tc>
          <w:tcPr>
            <w:tcW w:type="dxa" w:w="2592"/>
            <w:shd w:val="clear" w:color="auto" w:fill="F2F4F6"/>
            <w:tcMar>
              <w:top w:w="60" w:type="dxa"/>
              <w:bottom w:w="60" w:type="dxa"/>
              <w:left w:w="100" w:type="dxa"/>
              <w:right w:w="100" w:type="dxa"/>
            </w:tcMar>
          </w:tcPr>
          <w:p>
            <w:pPr>
              <w:spacing w:before="0" w:after="0"/>
            </w:pPr>
            <w:r/>
            <w:r>
              <w:rPr>
                <w:color w:val="3C4752"/>
                <w:sz w:val="19"/>
              </w:rPr>
              <w:t>Mitigated in part by internal seed inventory (BRQ-05) but not solved — hybrid supply is a bet, not a proven solution.</w:t>
            </w:r>
          </w:p>
        </w:tc>
      </w:tr>
      <w:tr>
        <w:tc>
          <w:tcPr>
            <w:tcW w:type="dxa" w:w="2160"/>
            <w:shd w:val="clear" w:color="auto" w:fill="FFFFFF"/>
            <w:tcMar>
              <w:top w:w="60" w:type="dxa"/>
              <w:bottom w:w="60" w:type="dxa"/>
              <w:left w:w="100" w:type="dxa"/>
              <w:right w:w="100" w:type="dxa"/>
            </w:tcMar>
          </w:tcPr>
          <w:p>
            <w:pPr>
              <w:spacing w:before="0" w:after="0"/>
            </w:pPr>
            <w:r/>
            <w:r>
              <w:rPr>
                <w:color w:val="3C4752"/>
                <w:sz w:val="19"/>
              </w:rPr>
              <w:t>No revenue model</w:t>
            </w:r>
          </w:p>
        </w:tc>
        <w:tc>
          <w:tcPr>
            <w:tcW w:type="dxa" w:w="3888"/>
            <w:shd w:val="clear" w:color="auto" w:fill="FFFFFF"/>
            <w:tcMar>
              <w:top w:w="60" w:type="dxa"/>
              <w:bottom w:w="60" w:type="dxa"/>
              <w:left w:w="100" w:type="dxa"/>
              <w:right w:w="100" w:type="dxa"/>
            </w:tcMar>
          </w:tcPr>
          <w:p>
            <w:pPr>
              <w:spacing w:before="0" w:after="0"/>
            </w:pPr>
            <w:r/>
            <w:r>
              <w:rPr>
                <w:color w:val="3C4752"/>
                <w:sz w:val="19"/>
              </w:rPr>
              <w:t>The platform is free in this release by design (Section 5.2), and free could become the permanent default by inertia if a monetisation decision is not deliberately forced.</w:t>
            </w:r>
          </w:p>
        </w:tc>
        <w:tc>
          <w:tcPr>
            <w:tcW w:type="dxa" w:w="2592"/>
            <w:shd w:val="clear" w:color="auto" w:fill="FFFFFF"/>
            <w:tcMar>
              <w:top w:w="60" w:type="dxa"/>
              <w:bottom w:w="60" w:type="dxa"/>
              <w:left w:w="100" w:type="dxa"/>
              <w:right w:w="100" w:type="dxa"/>
            </w:tcMar>
          </w:tcPr>
          <w:p>
            <w:pPr>
              <w:spacing w:before="0" w:after="0"/>
            </w:pPr>
            <w:r/>
            <w:r>
              <w:rPr>
                <w:color w:val="3C4752"/>
                <w:sz w:val="19"/>
              </w:rPr>
              <w:t>A successor decision citing the Section 9 metrics is a standing requirement before any billing is built — not yet triggered.</w:t>
            </w:r>
          </w:p>
        </w:tc>
      </w:tr>
      <w:tr>
        <w:tc>
          <w:tcPr>
            <w:tcW w:type="dxa" w:w="2160"/>
            <w:shd w:val="clear" w:color="auto" w:fill="F2F4F6"/>
            <w:tcMar>
              <w:top w:w="60" w:type="dxa"/>
              <w:bottom w:w="60" w:type="dxa"/>
              <w:left w:w="100" w:type="dxa"/>
              <w:right w:w="100" w:type="dxa"/>
            </w:tcMar>
          </w:tcPr>
          <w:p>
            <w:pPr>
              <w:spacing w:before="0" w:after="0"/>
            </w:pPr>
            <w:r/>
            <w:r>
              <w:rPr>
                <w:color w:val="3C4752"/>
                <w:sz w:val="19"/>
              </w:rPr>
              <w:t>Recommendation quality is measured, but the measurement set is still growing</w:t>
            </w:r>
          </w:p>
        </w:tc>
        <w:tc>
          <w:tcPr>
            <w:tcW w:type="dxa" w:w="3888"/>
            <w:shd w:val="clear" w:color="auto" w:fill="F2F4F6"/>
            <w:tcMar>
              <w:top w:w="60" w:type="dxa"/>
              <w:bottom w:w="60" w:type="dxa"/>
              <w:left w:w="100" w:type="dxa"/>
              <w:right w:w="100" w:type="dxa"/>
            </w:tcMar>
          </w:tcPr>
          <w:p>
            <w:pPr>
              <w:spacing w:before="0" w:after="0"/>
            </w:pPr>
            <w:r/>
            <w:r>
              <w:rPr>
                <w:color w:val="3C4752"/>
                <w:sz w:val="19"/>
              </w:rPr>
              <w:t>The hand-labelled reference set used to defend match quality is real and used on every change, but is not yet at the scale needed to defend every possible weighting decision with full confidence.</w:t>
            </w:r>
          </w:p>
        </w:tc>
        <w:tc>
          <w:tcPr>
            <w:tcW w:type="dxa" w:w="2592"/>
            <w:shd w:val="clear" w:color="auto" w:fill="F2F4F6"/>
            <w:tcMar>
              <w:top w:w="60" w:type="dxa"/>
              <w:bottom w:w="60" w:type="dxa"/>
              <w:left w:w="100" w:type="dxa"/>
              <w:right w:w="100" w:type="dxa"/>
            </w:tcMar>
          </w:tcPr>
          <w:p>
            <w:pPr>
              <w:spacing w:before="0" w:after="0"/>
            </w:pPr>
            <w:r/>
            <w:r>
              <w:rPr>
                <w:color w:val="3C4752"/>
                <w:sz w:val="19"/>
              </w:rPr>
              <w:t>Actively growing sprint over sprint; treated as an ongoing investment, not a one-time task.</w:t>
            </w:r>
          </w:p>
        </w:tc>
      </w:tr>
      <w:tr>
        <w:tc>
          <w:tcPr>
            <w:tcW w:type="dxa" w:w="2160"/>
            <w:shd w:val="clear" w:color="auto" w:fill="FFFFFF"/>
            <w:tcMar>
              <w:top w:w="60" w:type="dxa"/>
              <w:bottom w:w="60" w:type="dxa"/>
              <w:left w:w="100" w:type="dxa"/>
              <w:right w:w="100" w:type="dxa"/>
            </w:tcMar>
          </w:tcPr>
          <w:p>
            <w:pPr>
              <w:spacing w:before="0" w:after="0"/>
            </w:pPr>
            <w:r/>
            <w:r>
              <w:rPr>
                <w:color w:val="3C4752"/>
                <w:sz w:val="19"/>
              </w:rPr>
              <w:t>Self-declared skills are the norm, not the exception, today</w:t>
            </w:r>
          </w:p>
        </w:tc>
        <w:tc>
          <w:tcPr>
            <w:tcW w:type="dxa" w:w="3888"/>
            <w:shd w:val="clear" w:color="auto" w:fill="FFFFFF"/>
            <w:tcMar>
              <w:top w:w="60" w:type="dxa"/>
              <w:bottom w:w="60" w:type="dxa"/>
              <w:left w:w="100" w:type="dxa"/>
              <w:right w:w="100" w:type="dxa"/>
            </w:tcMar>
          </w:tcPr>
          <w:p>
            <w:pPr>
              <w:spacing w:before="0" w:after="0"/>
            </w:pPr>
            <w:r/>
            <w:r>
              <w:rPr>
                <w:color w:val="3C4752"/>
                <w:sz w:val="19"/>
              </w:rPr>
              <w:t>The scoring model trusts independently verified skills far more than self-declared ones, but the assessment-provider integration that would supply verified results is not yet built (Section 5.2), so in practice every real candidate’s skills are self-declared.</w:t>
            </w:r>
          </w:p>
        </w:tc>
        <w:tc>
          <w:tcPr>
            <w:tcW w:type="dxa" w:w="2592"/>
            <w:shd w:val="clear" w:color="auto" w:fill="FFFFFF"/>
            <w:tcMar>
              <w:top w:w="60" w:type="dxa"/>
              <w:bottom w:w="60" w:type="dxa"/>
              <w:left w:w="100" w:type="dxa"/>
              <w:right w:w="100" w:type="dxa"/>
            </w:tcMar>
          </w:tcPr>
          <w:p>
            <w:pPr>
              <w:spacing w:before="0" w:after="0"/>
            </w:pPr>
            <w:r/>
            <w:r>
              <w:rPr>
                <w:color w:val="3C4752"/>
                <w:sz w:val="19"/>
              </w:rPr>
              <w:t>A recorded limitation (FRS §8) and the strongest single argument for prioritising assessment-provider integration next (Section 14).</w:t>
            </w:r>
          </w:p>
        </w:tc>
      </w:tr>
      <w:tr>
        <w:tc>
          <w:tcPr>
            <w:tcW w:type="dxa" w:w="2160"/>
            <w:shd w:val="clear" w:color="auto" w:fill="F2F4F6"/>
            <w:tcMar>
              <w:top w:w="60" w:type="dxa"/>
              <w:bottom w:w="60" w:type="dxa"/>
              <w:left w:w="100" w:type="dxa"/>
              <w:right w:w="100" w:type="dxa"/>
            </w:tcMar>
          </w:tcPr>
          <w:p>
            <w:pPr>
              <w:spacing w:before="0" w:after="0"/>
            </w:pPr>
            <w:r/>
            <w:r>
              <w:rPr>
                <w:color w:val="3C4752"/>
                <w:sz w:val="19"/>
              </w:rPr>
              <w:t>Multi-sector scope dilutes go-to-market focus</w:t>
            </w:r>
          </w:p>
        </w:tc>
        <w:tc>
          <w:tcPr>
            <w:tcW w:type="dxa" w:w="3888"/>
            <w:shd w:val="clear" w:color="auto" w:fill="F2F4F6"/>
            <w:tcMar>
              <w:top w:w="60" w:type="dxa"/>
              <w:bottom w:w="60" w:type="dxa"/>
              <w:left w:w="100" w:type="dxa"/>
              <w:right w:w="100" w:type="dxa"/>
            </w:tcMar>
          </w:tcPr>
          <w:p>
            <w:pPr>
              <w:spacing w:before="0" w:after="0"/>
            </w:pPr>
            <w:r/>
            <w:r>
              <w:rPr>
                <w:color w:val="3C4752"/>
                <w:sz w:val="19"/>
              </w:rPr>
              <w:t>Building for every sector from the outset means no single narrow cohort to validate the business case against first.</w:t>
            </w:r>
          </w:p>
        </w:tc>
        <w:tc>
          <w:tcPr>
            <w:tcW w:type="dxa" w:w="2592"/>
            <w:shd w:val="clear" w:color="auto" w:fill="F2F4F6"/>
            <w:tcMar>
              <w:top w:w="60" w:type="dxa"/>
              <w:bottom w:w="60" w:type="dxa"/>
              <w:left w:w="100" w:type="dxa"/>
              <w:right w:w="100" w:type="dxa"/>
            </w:tcMar>
          </w:tcPr>
          <w:p>
            <w:pPr>
              <w:spacing w:before="0" w:after="0"/>
            </w:pPr>
            <w:r/>
            <w:r>
              <w:rPr>
                <w:color w:val="3C4752"/>
                <w:sz w:val="19"/>
              </w:rPr>
              <w:t>A knowing, reversible trade — the business can narrow its go-to-market focus at any time without touching the underlying platform, which remains sector-agnostic either way.</w:t>
            </w:r>
          </w:p>
        </w:tc>
      </w:tr>
      <w:tr>
        <w:tc>
          <w:tcPr>
            <w:tcW w:type="dxa" w:w="2160"/>
            <w:shd w:val="clear" w:color="auto" w:fill="FFFFFF"/>
            <w:tcMar>
              <w:top w:w="60" w:type="dxa"/>
              <w:bottom w:w="60" w:type="dxa"/>
              <w:left w:w="100" w:type="dxa"/>
              <w:right w:w="100" w:type="dxa"/>
            </w:tcMar>
          </w:tcPr>
          <w:p>
            <w:pPr>
              <w:spacing w:before="0" w:after="0"/>
            </w:pPr>
            <w:r/>
            <w:r>
              <w:rPr>
                <w:color w:val="3C4752"/>
                <w:sz w:val="19"/>
              </w:rPr>
              <w:t>Employer-side supply is the historically weakest link in Indian vocational hiring markets</w:t>
            </w:r>
          </w:p>
        </w:tc>
        <w:tc>
          <w:tcPr>
            <w:tcW w:type="dxa" w:w="3888"/>
            <w:shd w:val="clear" w:color="auto" w:fill="FFFFFF"/>
            <w:tcMar>
              <w:top w:w="60" w:type="dxa"/>
              <w:bottom w:w="60" w:type="dxa"/>
              <w:left w:w="100" w:type="dxa"/>
              <w:right w:w="100" w:type="dxa"/>
            </w:tcMar>
          </w:tcPr>
          <w:p>
            <w:pPr>
              <w:spacing w:before="0" w:after="0"/>
            </w:pPr>
            <w:r/>
            <w:r>
              <w:rPr>
                <w:color w:val="3C4752"/>
                <w:sz w:val="19"/>
              </w:rPr>
              <w:t>This is a market characteristic, not a platform defect, and applies to every competitor in the space.</w:t>
            </w:r>
          </w:p>
        </w:tc>
        <w:tc>
          <w:tcPr>
            <w:tcW w:type="dxa" w:w="2592"/>
            <w:shd w:val="clear" w:color="auto" w:fill="FFFFFF"/>
            <w:tcMar>
              <w:top w:w="60" w:type="dxa"/>
              <w:bottom w:w="60" w:type="dxa"/>
              <w:left w:w="100" w:type="dxa"/>
              <w:right w:w="100" w:type="dxa"/>
            </w:tcMar>
          </w:tcPr>
          <w:p>
            <w:pPr>
              <w:spacing w:before="0" w:after="0"/>
            </w:pPr>
            <w:r/>
            <w:r>
              <w:rPr>
                <w:color w:val="3C4752"/>
                <w:sz w:val="19"/>
              </w:rPr>
              <w:t>Addressed operationally through direct business development and the internal seeding path, not solved by product design alone.</w:t>
            </w:r>
          </w:p>
        </w:tc>
      </w:tr>
    </w:tbl>
    <w:p>
      <w:pPr>
        <w:spacing w:after="80"/>
      </w:pPr>
    </w:p>
    <w:p>
      <w:r>
        <w:br w:type="page"/>
      </w:r>
    </w:p>
    <w:p>
      <w:pPr>
        <w:pStyle w:val="Heading1"/>
      </w:pPr>
      <w:r>
        <w:rPr>
          <w:color w:val="0F6E84"/>
        </w:rPr>
        <w:t xml:space="preserve">12  </w:t>
      </w:r>
      <w:r>
        <w:t>Assumptions, Dependencies and Constraints</w:t>
      </w:r>
    </w:p>
    <w:p>
      <w:pPr>
        <w:pStyle w:val="Heading2"/>
      </w:pPr>
      <w:r>
        <w:t>12.1  Assumptions</w:t>
      </w:r>
    </w:p>
    <w:p>
      <w:pPr>
        <w:pStyle w:val="ListBullet"/>
        <w:spacing w:before="0" w:after="60"/>
      </w:pPr>
      <w:r>
        <w:t>The national skills taxonomy (NSQF) will remain the government-endorsed vocational standard for the foreseeable term, and continues to be made available for ingestion.</w:t>
      </w:r>
    </w:p>
    <w:p>
      <w:pPr>
        <w:pStyle w:val="ListBullet"/>
        <w:spacing w:before="0" w:after="60"/>
      </w:pPr>
      <w:r>
        <w:t>The target candidate population continues to be substantially not English-first, justifying the ongoing cost of maintaining a fully bilingual interface.</w:t>
      </w:r>
    </w:p>
    <w:p>
      <w:pPr>
        <w:pStyle w:val="ListBullet"/>
        <w:spacing w:before="0" w:after="60"/>
      </w:pPr>
      <w:r>
        <w:t>Direct willingness to pay among candidates remains low enough, at this stage, that a free model is the right one to prove quality against.</w:t>
      </w:r>
    </w:p>
    <w:p>
      <w:pPr>
        <w:pStyle w:val="Heading2"/>
      </w:pPr>
      <w:r>
        <w:t>12.2  Dependencies</w:t>
      </w:r>
    </w:p>
    <w:p>
      <w:pPr>
        <w:pStyle w:val="ListBullet"/>
        <w:spacing w:before="0" w:after="60"/>
      </w:pPr>
      <w:r>
        <w:t>A production SMS delivery vendor and email delivery vendor are required before any real candidate or organisation can sign in outside a controlled demonstration — there is currently no password anywhere in the product, so message delivery is not a convenience but the only way into an account.</w:t>
      </w:r>
    </w:p>
    <w:p>
      <w:pPr>
        <w:pStyle w:val="ListBullet"/>
        <w:spacing w:before="0" w:after="60"/>
      </w:pPr>
      <w:r>
        <w:t>A hosting and deployment environment in India, to satisfy the data-residency expectations of the Digital Personal Data Protection Act, 2023, given the platform will hold identity and profile data for Indian residents.</w:t>
      </w:r>
    </w:p>
    <w:p>
      <w:pPr>
        <w:pStyle w:val="ListBullet"/>
        <w:spacing w:before="0" w:after="60"/>
      </w:pPr>
      <w:r>
        <w:t>Continued access to the national skills taxonomy source data for periodic re-import as the framework itself is revised.</w:t>
      </w:r>
    </w:p>
    <w:p>
      <w:pPr>
        <w:pStyle w:val="Heading2"/>
      </w:pPr>
      <w:r>
        <w:t>12.3  Constraints</w:t>
      </w:r>
    </w:p>
    <w:p>
      <w:pPr>
        <w:pStyle w:val="ListBullet"/>
        <w:spacing w:before="0" w:after="60"/>
      </w:pPr>
      <w:r>
        <w:t>No billing code may be written until a successor decision is taken, and that decision must cite the three metrics in Section 9.</w:t>
      </w:r>
    </w:p>
    <w:p>
      <w:pPr>
        <w:pStyle w:val="ListBullet"/>
        <w:spacing w:before="0" w:after="60"/>
      </w:pPr>
      <w:r>
        <w:t>Nothing in the platform may hold or process an individual’s Aadhaar number, résumé content or assessment result outside an explicit, encrypted-at-rest handling path — that path does not yet exist and must be built before any of those three data types is ever collected.</w:t>
      </w:r>
    </w:p>
    <w:p>
      <w:r>
        <w:br w:type="page"/>
      </w:r>
    </w:p>
    <w:p>
      <w:pPr>
        <w:pStyle w:val="Heading1"/>
      </w:pPr>
      <w:r>
        <w:rPr>
          <w:color w:val="0F6E84"/>
        </w:rPr>
        <w:t xml:space="preserve">13  </w:t>
      </w:r>
      <w:r>
        <w:t>Readiness for a Live Pilot</w:t>
      </w:r>
    </w:p>
    <w:p>
      <w:r>
        <w:rPr>
          <w:b w:val="0"/>
          <w:i w:val="0"/>
        </w:rPr>
        <w:t>Every item below is a deliberate, stage-appropriate choice — none is a defect — and each is genuinely load-bearing for a controlled demonstration precisely because it is absent there. A live pilot with real candidates and organisations needs all of them resolved. This section states what is needed, not a cost or a timeline, since neither can be responsibly estimated without a vendor and hosting decision the business has not yet made.</w:t>
      </w:r>
    </w:p>
    <w:p>
      <w:pPr>
        <w:pStyle w:val="Heading2"/>
      </w:pPr>
      <w:r>
        <w:t>13.1  Blockers — a Deployed Instance Today Would Let Nobody In</w:t>
      </w:r>
    </w:p>
    <w:p>
      <w:pPr>
        <w:pStyle w:val="ListBullet"/>
        <w:spacing w:before="0" w:after="60"/>
      </w:pPr>
      <w:r>
        <w:rPr>
          <w:b/>
        </w:rPr>
        <w:t xml:space="preserve">A production SMS and email delivery vendor. </w:t>
      </w:r>
      <w:r>
        <w:t>There is no password anywhere in the product by design; a one-time passcode that cannot be delivered is an account that cannot be entered.</w:t>
      </w:r>
    </w:p>
    <w:p>
      <w:pPr>
        <w:pStyle w:val="ListBullet"/>
        <w:spacing w:before="0" w:after="60"/>
      </w:pPr>
      <w:r>
        <w:rPr>
          <w:b/>
        </w:rPr>
        <w:t xml:space="preserve">A hosting and deployment target. </w:t>
      </w:r>
      <w:r>
        <w:t>The platform currently runs only in a local development environment; there is no production infrastructure provisioned yet.</w:t>
      </w:r>
    </w:p>
    <w:p>
      <w:pPr>
        <w:pStyle w:val="Heading2"/>
      </w:pPr>
      <w:r>
        <w:t>13.2  Required Before Real Candidate Data Is Collected</w:t>
      </w:r>
    </w:p>
    <w:p>
      <w:pPr>
        <w:pStyle w:val="ListBullet"/>
        <w:spacing w:before="0" w:after="60"/>
      </w:pPr>
      <w:r>
        <w:rPr>
          <w:b/>
        </w:rPr>
        <w:t xml:space="preserve">An encrypted data-handling path for the most sensitive fields. </w:t>
      </w:r>
      <w:r>
        <w:t>Aadhaar numbers, résumé content and assessment results are all named as sensitive by design; none may be collected until that handling path exists, and none is collected today.</w:t>
      </w:r>
    </w:p>
    <w:p>
      <w:pPr>
        <w:pStyle w:val="ListBullet"/>
        <w:spacing w:before="0" w:after="60"/>
      </w:pPr>
      <w:r>
        <w:rPr>
          <w:b/>
        </w:rPr>
        <w:t xml:space="preserve">Production-grade monitoring. </w:t>
      </w:r>
      <w:r>
        <w:t>Enough to diagnose a real customer’s reported problem without needing developer access to the running system directly.</w:t>
      </w:r>
    </w:p>
    <w:p>
      <w:pPr>
        <w:pStyle w:val="Heading2"/>
      </w:pPr>
      <w:r>
        <w:t>13.3  Would Embarrass in a Pilot, Inexpensive to Address</w:t>
      </w:r>
    </w:p>
    <w:p>
      <w:pPr>
        <w:pStyle w:val="ListBullet"/>
        <w:spacing w:before="0" w:after="60"/>
      </w:pPr>
      <w:r>
        <w:t>The hand-labelled reference set used to defend match quality (Section 9) is real and growing but has not yet reached the scale that would let it defend every possible tuning decision with full confidence.</w:t>
      </w:r>
    </w:p>
    <w:p>
      <w:pPr>
        <w:pStyle w:val="ListBullet"/>
        <w:spacing w:before="0" w:after="60"/>
      </w:pPr>
      <w:r>
        <w:t>The underlying national skills corpus itself remains English-only; the interface around it is fully bilingual.</w:t>
      </w:r>
    </w:p>
    <w:p>
      <w:r>
        <w:br w:type="page"/>
      </w:r>
    </w:p>
    <w:p>
      <w:pPr>
        <w:pStyle w:val="Heading1"/>
      </w:pPr>
      <w:r>
        <w:rPr>
          <w:color w:val="0F6E84"/>
        </w:rPr>
        <w:t xml:space="preserve">14  </w:t>
      </w:r>
      <w:r>
        <w:t>Roadmap and Future Business Opportunities</w:t>
      </w:r>
    </w:p>
    <w:p>
      <w:r>
        <w:rPr>
          <w:b w:val="0"/>
          <w:i w:val="0"/>
        </w:rPr>
        <w:t>The Functional Requirements Specification, Section 9, holds the full candidate backlog with build-effort grouping. This section restates the same list in business-value terms, for a sponsor deciding what to fund next — it is a set of candidates for prioritisation, not a committed roadmap.</w:t>
      </w:r>
    </w:p>
    <w:tbl>
      <w:tblPr>
        <w:tblStyle w:val="TableGrid"/>
        <w:tblW w:type="auto" w:w="0"/>
        <w:jc w:val="center"/>
        <w:tblLayout w:type="autofit"/>
        <w:tblLook w:firstColumn="1" w:firstRow="1" w:lastColumn="0" w:lastRow="0" w:noHBand="0" w:noVBand="1" w:val="04A0"/>
      </w:tblPr>
      <w:tblGrid>
        <w:gridCol w:w="4706"/>
        <w:gridCol w:w="4706"/>
      </w:tblGrid>
      <w:tr>
        <w:tc>
          <w:tcPr>
            <w:tcW w:type="dxa" w:w="3168"/>
            <w:shd w:val="clear" w:color="auto" w:fill="0B2E4E"/>
            <w:tcMar>
              <w:top w:w="60" w:type="dxa"/>
              <w:bottom w:w="60" w:type="dxa"/>
              <w:left w:w="100" w:type="dxa"/>
              <w:right w:w="100" w:type="dxa"/>
            </w:tcMar>
            <w:vAlign w:val="center"/>
          </w:tcPr>
          <w:p>
            <w:r/>
            <w:r>
              <w:rPr>
                <w:b/>
                <w:color w:val="FFFFFF"/>
                <w:sz w:val="19"/>
              </w:rPr>
              <w:t>Opportunity</w:t>
            </w:r>
          </w:p>
        </w:tc>
        <w:tc>
          <w:tcPr>
            <w:tcW w:type="dxa" w:w="5472"/>
            <w:shd w:val="clear" w:color="auto" w:fill="0B2E4E"/>
            <w:tcMar>
              <w:top w:w="60" w:type="dxa"/>
              <w:bottom w:w="60" w:type="dxa"/>
              <w:left w:w="100" w:type="dxa"/>
              <w:right w:w="100" w:type="dxa"/>
            </w:tcMar>
            <w:vAlign w:val="center"/>
          </w:tcPr>
          <w:p>
            <w:r/>
            <w:r>
              <w:rPr>
                <w:b/>
                <w:color w:val="FFFFFF"/>
                <w:sz w:val="19"/>
              </w:rPr>
              <w:t>Business Value</w:t>
            </w:r>
          </w:p>
        </w:tc>
      </w:tr>
      <w:tr>
        <w:tc>
          <w:tcPr>
            <w:tcW w:type="dxa" w:w="3168"/>
            <w:shd w:val="clear" w:color="auto" w:fill="F2F4F6"/>
            <w:tcMar>
              <w:top w:w="60" w:type="dxa"/>
              <w:bottom w:w="60" w:type="dxa"/>
              <w:left w:w="100" w:type="dxa"/>
              <w:right w:w="100" w:type="dxa"/>
            </w:tcMar>
          </w:tcPr>
          <w:p>
            <w:pPr>
              <w:spacing w:before="0" w:after="0"/>
            </w:pPr>
            <w:r/>
            <w:r>
              <w:rPr>
                <w:color w:val="3C4752"/>
                <w:sz w:val="19"/>
              </w:rPr>
              <w:t>Monetisation model and payment integration</w:t>
            </w:r>
          </w:p>
        </w:tc>
        <w:tc>
          <w:tcPr>
            <w:tcW w:type="dxa" w:w="5472"/>
            <w:shd w:val="clear" w:color="auto" w:fill="F2F4F6"/>
            <w:tcMar>
              <w:top w:w="60" w:type="dxa"/>
              <w:bottom w:w="60" w:type="dxa"/>
              <w:left w:w="100" w:type="dxa"/>
              <w:right w:w="100" w:type="dxa"/>
            </w:tcMar>
          </w:tcPr>
          <w:p>
            <w:pPr>
              <w:spacing w:before="0" w:after="0"/>
            </w:pPr>
            <w:r/>
            <w:r>
              <w:rPr>
                <w:color w:val="3C4752"/>
                <w:sz w:val="19"/>
              </w:rPr>
              <w:t>Converts a proven, free platform into a revenue-generating one, once Section 9’s quality metrics justify the move.</w:t>
            </w:r>
          </w:p>
        </w:tc>
      </w:tr>
      <w:tr>
        <w:tc>
          <w:tcPr>
            <w:tcW w:type="dxa" w:w="3168"/>
            <w:shd w:val="clear" w:color="auto" w:fill="FFFFFF"/>
            <w:tcMar>
              <w:top w:w="60" w:type="dxa"/>
              <w:bottom w:w="60" w:type="dxa"/>
              <w:left w:w="100" w:type="dxa"/>
              <w:right w:w="100" w:type="dxa"/>
            </w:tcMar>
          </w:tcPr>
          <w:p>
            <w:pPr>
              <w:spacing w:before="0" w:after="0"/>
            </w:pPr>
            <w:r/>
            <w:r>
              <w:rPr>
                <w:color w:val="3C4752"/>
                <w:sz w:val="19"/>
              </w:rPr>
              <w:t>Assessment-provider integration</w:t>
            </w:r>
          </w:p>
        </w:tc>
        <w:tc>
          <w:tcPr>
            <w:tcW w:type="dxa" w:w="5472"/>
            <w:shd w:val="clear" w:color="auto" w:fill="FFFFFF"/>
            <w:tcMar>
              <w:top w:w="60" w:type="dxa"/>
              <w:bottom w:w="60" w:type="dxa"/>
              <w:left w:w="100" w:type="dxa"/>
              <w:right w:w="100" w:type="dxa"/>
            </w:tcMar>
          </w:tcPr>
          <w:p>
            <w:pPr>
              <w:spacing w:before="0" w:after="0"/>
            </w:pPr>
            <w:r/>
            <w:r>
              <w:rPr>
                <w:color w:val="3C4752"/>
                <w:sz w:val="19"/>
              </w:rPr>
              <w:t>The single highest-leverage improvement to match quality available — it is what would let independently verified skills finally outrank self-declared ones in practice, not merely in the scoring design.</w:t>
            </w:r>
          </w:p>
        </w:tc>
      </w:tr>
      <w:tr>
        <w:tc>
          <w:tcPr>
            <w:tcW w:type="dxa" w:w="3168"/>
            <w:shd w:val="clear" w:color="auto" w:fill="F2F4F6"/>
            <w:tcMar>
              <w:top w:w="60" w:type="dxa"/>
              <w:bottom w:w="60" w:type="dxa"/>
              <w:left w:w="100" w:type="dxa"/>
              <w:right w:w="100" w:type="dxa"/>
            </w:tcMar>
          </w:tcPr>
          <w:p>
            <w:pPr>
              <w:spacing w:before="0" w:after="0"/>
            </w:pPr>
            <w:r/>
            <w:r>
              <w:rPr>
                <w:color w:val="3C4752"/>
                <w:sz w:val="19"/>
              </w:rPr>
              <w:t>Course-to-role alignment scoring for providers</w:t>
            </w:r>
          </w:p>
        </w:tc>
        <w:tc>
          <w:tcPr>
            <w:tcW w:type="dxa" w:w="5472"/>
            <w:shd w:val="clear" w:color="auto" w:fill="F2F4F6"/>
            <w:tcMar>
              <w:top w:w="60" w:type="dxa"/>
              <w:bottom w:w="60" w:type="dxa"/>
              <w:left w:w="100" w:type="dxa"/>
              <w:right w:w="100" w:type="dxa"/>
            </w:tcMar>
          </w:tcPr>
          <w:p>
            <w:pPr>
              <w:spacing w:before="0" w:after="0"/>
            </w:pPr>
            <w:r/>
            <w:r>
              <w:rPr>
                <w:color w:val="3C4752"/>
                <w:sz w:val="19"/>
              </w:rPr>
              <w:t>Gives training providers a market-facing figure — “your course covers seven of nine standards this occupation needs” — independent of any single candidate, deepening the value the platform offers that side of the market.</w:t>
            </w:r>
          </w:p>
        </w:tc>
      </w:tr>
      <w:tr>
        <w:tc>
          <w:tcPr>
            <w:tcW w:type="dxa" w:w="3168"/>
            <w:shd w:val="clear" w:color="auto" w:fill="FFFFFF"/>
            <w:tcMar>
              <w:top w:w="60" w:type="dxa"/>
              <w:bottom w:w="60" w:type="dxa"/>
              <w:left w:w="100" w:type="dxa"/>
              <w:right w:w="100" w:type="dxa"/>
            </w:tcMar>
          </w:tcPr>
          <w:p>
            <w:pPr>
              <w:spacing w:before="0" w:after="0"/>
            </w:pPr>
            <w:r/>
            <w:r>
              <w:rPr>
                <w:color w:val="3C4752"/>
                <w:sz w:val="19"/>
              </w:rPr>
              <w:t>Career-path recommendation</w:t>
            </w:r>
          </w:p>
        </w:tc>
        <w:tc>
          <w:tcPr>
            <w:tcW w:type="dxa" w:w="5472"/>
            <w:shd w:val="clear" w:color="auto" w:fill="FFFFFF"/>
            <w:tcMar>
              <w:top w:w="60" w:type="dxa"/>
              <w:bottom w:w="60" w:type="dxa"/>
              <w:left w:w="100" w:type="dxa"/>
              <w:right w:w="100" w:type="dxa"/>
            </w:tcMar>
          </w:tcPr>
          <w:p>
            <w:pPr>
              <w:spacing w:before="0" w:after="0"/>
            </w:pPr>
            <w:r/>
            <w:r>
              <w:rPr>
                <w:color w:val="3C4752"/>
                <w:sz w:val="19"/>
              </w:rPr>
              <w:t>Extends the platform from “what can this person do now” to “where can they realistically go next” — the natural evolution toward the workforce-mobility positioning in Section 1.</w:t>
            </w:r>
          </w:p>
        </w:tc>
      </w:tr>
      <w:tr>
        <w:tc>
          <w:tcPr>
            <w:tcW w:type="dxa" w:w="3168"/>
            <w:shd w:val="clear" w:color="auto" w:fill="F2F4F6"/>
            <w:tcMar>
              <w:top w:w="60" w:type="dxa"/>
              <w:bottom w:w="60" w:type="dxa"/>
              <w:left w:w="100" w:type="dxa"/>
              <w:right w:w="100" w:type="dxa"/>
            </w:tcMar>
          </w:tcPr>
          <w:p>
            <w:pPr>
              <w:spacing w:before="0" w:after="0"/>
            </w:pPr>
            <w:r/>
            <w:r>
              <w:rPr>
                <w:color w:val="3C4752"/>
                <w:sz w:val="19"/>
              </w:rPr>
              <w:t>Gig / short-term work as a new pillar</w:t>
            </w:r>
          </w:p>
        </w:tc>
        <w:tc>
          <w:tcPr>
            <w:tcW w:type="dxa" w:w="5472"/>
            <w:shd w:val="clear" w:color="auto" w:fill="F2F4F6"/>
            <w:tcMar>
              <w:top w:w="60" w:type="dxa"/>
              <w:bottom w:w="60" w:type="dxa"/>
              <w:left w:w="100" w:type="dxa"/>
              <w:right w:w="100" w:type="dxa"/>
            </w:tcMar>
          </w:tcPr>
          <w:p>
            <w:pPr>
              <w:spacing w:before="0" w:after="0"/>
            </w:pPr>
            <w:r/>
            <w:r>
              <w:rPr>
                <w:color w:val="3C4752"/>
                <w:sz w:val="19"/>
              </w:rPr>
              <w:t>Opens an entirely new, adjacent market on the same underlying skill graph, once given its own design phase.</w:t>
            </w:r>
          </w:p>
        </w:tc>
      </w:tr>
      <w:tr>
        <w:tc>
          <w:tcPr>
            <w:tcW w:type="dxa" w:w="3168"/>
            <w:shd w:val="clear" w:color="auto" w:fill="FFFFFF"/>
            <w:tcMar>
              <w:top w:w="60" w:type="dxa"/>
              <w:bottom w:w="60" w:type="dxa"/>
              <w:left w:w="100" w:type="dxa"/>
              <w:right w:w="100" w:type="dxa"/>
            </w:tcMar>
          </w:tcPr>
          <w:p>
            <w:pPr>
              <w:spacing w:before="0" w:after="0"/>
            </w:pPr>
            <w:r/>
            <w:r>
              <w:rPr>
                <w:color w:val="3C4752"/>
                <w:sz w:val="19"/>
              </w:rPr>
              <w:t>Government agency partnership (bulk enrolment, programme reporting)</w:t>
            </w:r>
          </w:p>
        </w:tc>
        <w:tc>
          <w:tcPr>
            <w:tcW w:type="dxa" w:w="5472"/>
            <w:shd w:val="clear" w:color="auto" w:fill="FFFFFF"/>
            <w:tcMar>
              <w:top w:w="60" w:type="dxa"/>
              <w:bottom w:w="60" w:type="dxa"/>
              <w:left w:w="100" w:type="dxa"/>
              <w:right w:w="100" w:type="dxa"/>
            </w:tcMar>
          </w:tcPr>
          <w:p>
            <w:pPr>
              <w:spacing w:before="0" w:after="0"/>
            </w:pPr>
            <w:r/>
            <w:r>
              <w:rPr>
                <w:color w:val="3C4752"/>
                <w:sz w:val="19"/>
              </w:rPr>
              <w:t>Opens a business-to-business-to-government channel with large-scale onboarding and outcome reporting built in.</w:t>
            </w:r>
          </w:p>
        </w:tc>
      </w:tr>
    </w:tbl>
    <w:p>
      <w:pPr>
        <w:spacing w:after="80"/>
      </w:pPr>
    </w:p>
    <w:p>
      <w:r>
        <w:br w:type="page"/>
      </w:r>
    </w:p>
    <w:p>
      <w:pPr>
        <w:pStyle w:val="Heading1"/>
      </w:pPr>
      <w:r>
        <w:rPr>
          <w:color w:val="0F6E84"/>
        </w:rPr>
        <w:t xml:space="preserve">15  </w:t>
      </w:r>
      <w:r>
        <w:t>Appendices</w:t>
      </w:r>
    </w:p>
    <w:p>
      <w:pPr>
        <w:pStyle w:val="Heading2"/>
      </w:pPr>
      <w:r>
        <w:t>Appendix A — Glossary of Business Terms</w:t>
      </w:r>
    </w:p>
    <w:tbl>
      <w:tblPr>
        <w:tblStyle w:val="TableGrid"/>
        <w:tblW w:type="auto" w:w="0"/>
        <w:jc w:val="center"/>
        <w:tblLayout w:type="autofit"/>
        <w:tblLook w:firstColumn="1" w:firstRow="1" w:lastColumn="0" w:lastRow="0" w:noHBand="0" w:noVBand="1" w:val="04A0"/>
      </w:tblPr>
      <w:tblGrid>
        <w:gridCol w:w="4706"/>
        <w:gridCol w:w="4706"/>
      </w:tblGrid>
      <w:tr>
        <w:tc>
          <w:tcPr>
            <w:tcW w:type="dxa" w:w="2304"/>
            <w:shd w:val="clear" w:color="auto" w:fill="0B2E4E"/>
            <w:tcMar>
              <w:top w:w="60" w:type="dxa"/>
              <w:bottom w:w="60" w:type="dxa"/>
              <w:left w:w="100" w:type="dxa"/>
              <w:right w:w="100" w:type="dxa"/>
            </w:tcMar>
            <w:vAlign w:val="center"/>
          </w:tcPr>
          <w:p>
            <w:r/>
            <w:r>
              <w:rPr>
                <w:b/>
                <w:color w:val="FFFFFF"/>
                <w:sz w:val="19"/>
              </w:rPr>
              <w:t>Term</w:t>
            </w:r>
          </w:p>
        </w:tc>
        <w:tc>
          <w:tcPr>
            <w:tcW w:type="dxa" w:w="6336"/>
            <w:shd w:val="clear" w:color="auto" w:fill="0B2E4E"/>
            <w:tcMar>
              <w:top w:w="60" w:type="dxa"/>
              <w:bottom w:w="60" w:type="dxa"/>
              <w:left w:w="100" w:type="dxa"/>
              <w:right w:w="100" w:type="dxa"/>
            </w:tcMar>
            <w:vAlign w:val="center"/>
          </w:tcPr>
          <w:p>
            <w:r/>
            <w:r>
              <w:rPr>
                <w:b/>
                <w:color w:val="FFFFFF"/>
                <w:sz w:val="19"/>
              </w:rPr>
              <w:t>Meaning</w:t>
            </w:r>
          </w:p>
        </w:tc>
      </w:tr>
      <w:tr>
        <w:tc>
          <w:tcPr>
            <w:tcW w:type="dxa" w:w="2304"/>
            <w:shd w:val="clear" w:color="auto" w:fill="F2F4F6"/>
            <w:tcMar>
              <w:top w:w="60" w:type="dxa"/>
              <w:bottom w:w="60" w:type="dxa"/>
              <w:left w:w="100" w:type="dxa"/>
              <w:right w:w="100" w:type="dxa"/>
            </w:tcMar>
          </w:tcPr>
          <w:p>
            <w:pPr>
              <w:spacing w:before="0" w:after="0"/>
            </w:pPr>
            <w:r/>
            <w:r>
              <w:rPr>
                <w:color w:val="3C4752"/>
                <w:sz w:val="19"/>
              </w:rPr>
              <w:t>NSQF</w:t>
            </w:r>
          </w:p>
        </w:tc>
        <w:tc>
          <w:tcPr>
            <w:tcW w:type="dxa" w:w="6336"/>
            <w:shd w:val="clear" w:color="auto" w:fill="F2F4F6"/>
            <w:tcMar>
              <w:top w:w="60" w:type="dxa"/>
              <w:bottom w:w="60" w:type="dxa"/>
              <w:left w:w="100" w:type="dxa"/>
              <w:right w:w="100" w:type="dxa"/>
            </w:tcMar>
          </w:tcPr>
          <w:p>
            <w:pPr>
              <w:spacing w:before="0" w:after="0"/>
            </w:pPr>
            <w:r/>
            <w:r>
              <w:rPr>
                <w:color w:val="3C4752"/>
                <w:sz w:val="19"/>
              </w:rPr>
              <w:t>National Skills Qualifications Framework — the Government of India’s national vocational skills taxonomy.</w:t>
            </w:r>
          </w:p>
        </w:tc>
      </w:tr>
      <w:tr>
        <w:tc>
          <w:tcPr>
            <w:tcW w:type="dxa" w:w="2304"/>
            <w:shd w:val="clear" w:color="auto" w:fill="FFFFFF"/>
            <w:tcMar>
              <w:top w:w="60" w:type="dxa"/>
              <w:bottom w:w="60" w:type="dxa"/>
              <w:left w:w="100" w:type="dxa"/>
              <w:right w:w="100" w:type="dxa"/>
            </w:tcMar>
          </w:tcPr>
          <w:p>
            <w:pPr>
              <w:spacing w:before="0" w:after="0"/>
            </w:pPr>
            <w:r/>
            <w:r>
              <w:rPr>
                <w:color w:val="3C4752"/>
                <w:sz w:val="19"/>
              </w:rPr>
              <w:t>Skill Gap</w:t>
            </w:r>
          </w:p>
        </w:tc>
        <w:tc>
          <w:tcPr>
            <w:tcW w:type="dxa" w:w="6336"/>
            <w:shd w:val="clear" w:color="auto" w:fill="FFFFFF"/>
            <w:tcMar>
              <w:top w:w="60" w:type="dxa"/>
              <w:bottom w:w="60" w:type="dxa"/>
              <w:left w:w="100" w:type="dxa"/>
              <w:right w:w="100" w:type="dxa"/>
            </w:tcMar>
          </w:tcPr>
          <w:p>
            <w:pPr>
              <w:spacing w:before="0" w:after="0"/>
            </w:pPr>
            <w:r/>
            <w:r>
              <w:rPr>
                <w:color w:val="3C4752"/>
                <w:sz w:val="19"/>
              </w:rPr>
              <w:t>The specific, named set of skills a candidate has not yet demonstrated for a role they want — the platform’s core output.</w:t>
            </w:r>
          </w:p>
        </w:tc>
      </w:tr>
      <w:tr>
        <w:tc>
          <w:tcPr>
            <w:tcW w:type="dxa" w:w="2304"/>
            <w:shd w:val="clear" w:color="auto" w:fill="F2F4F6"/>
            <w:tcMar>
              <w:top w:w="60" w:type="dxa"/>
              <w:bottom w:w="60" w:type="dxa"/>
              <w:left w:w="100" w:type="dxa"/>
              <w:right w:w="100" w:type="dxa"/>
            </w:tcMar>
          </w:tcPr>
          <w:p>
            <w:pPr>
              <w:spacing w:before="0" w:after="0"/>
            </w:pPr>
            <w:r/>
            <w:r>
              <w:rPr>
                <w:color w:val="3C4752"/>
                <w:sz w:val="19"/>
              </w:rPr>
              <w:t>Verified Badge</w:t>
            </w:r>
          </w:p>
        </w:tc>
        <w:tc>
          <w:tcPr>
            <w:tcW w:type="dxa" w:w="6336"/>
            <w:shd w:val="clear" w:color="auto" w:fill="F2F4F6"/>
            <w:tcMar>
              <w:top w:w="60" w:type="dxa"/>
              <w:bottom w:w="60" w:type="dxa"/>
              <w:left w:w="100" w:type="dxa"/>
              <w:right w:w="100" w:type="dxa"/>
            </w:tcMar>
          </w:tcPr>
          <w:p>
            <w:pPr>
              <w:spacing w:before="0" w:after="0"/>
            </w:pPr>
            <w:r/>
            <w:r>
              <w:rPr>
                <w:color w:val="3C4752"/>
                <w:sz w:val="19"/>
              </w:rPr>
              <w:t>A trust mark an organisation earns only when reviewed and confirmed by an internal platform operator — never self-declared.</w:t>
            </w:r>
          </w:p>
        </w:tc>
      </w:tr>
      <w:tr>
        <w:tc>
          <w:tcPr>
            <w:tcW w:type="dxa" w:w="2304"/>
            <w:shd w:val="clear" w:color="auto" w:fill="FFFFFF"/>
            <w:tcMar>
              <w:top w:w="60" w:type="dxa"/>
              <w:bottom w:w="60" w:type="dxa"/>
              <w:left w:w="100" w:type="dxa"/>
              <w:right w:w="100" w:type="dxa"/>
            </w:tcMar>
          </w:tcPr>
          <w:p>
            <w:pPr>
              <w:spacing w:before="0" w:after="0"/>
            </w:pPr>
            <w:r/>
            <w:r>
              <w:rPr>
                <w:color w:val="3C4752"/>
                <w:sz w:val="19"/>
              </w:rPr>
              <w:t>DPDP Act</w:t>
            </w:r>
          </w:p>
        </w:tc>
        <w:tc>
          <w:tcPr>
            <w:tcW w:type="dxa" w:w="6336"/>
            <w:shd w:val="clear" w:color="auto" w:fill="FFFFFF"/>
            <w:tcMar>
              <w:top w:w="60" w:type="dxa"/>
              <w:bottom w:w="60" w:type="dxa"/>
              <w:left w:w="100" w:type="dxa"/>
              <w:right w:w="100" w:type="dxa"/>
            </w:tcMar>
          </w:tcPr>
          <w:p>
            <w:pPr>
              <w:spacing w:before="0" w:after="0"/>
            </w:pPr>
            <w:r/>
            <w:r>
              <w:rPr>
                <w:color w:val="3C4752"/>
                <w:sz w:val="19"/>
              </w:rPr>
              <w:t>The Digital Personal Data Protection Act, 2023 (India) — the data-protection law this platform’s consent, export and erasure capabilities satisfy.</w:t>
            </w:r>
          </w:p>
        </w:tc>
      </w:tr>
      <w:tr>
        <w:tc>
          <w:tcPr>
            <w:tcW w:type="dxa" w:w="2304"/>
            <w:shd w:val="clear" w:color="auto" w:fill="F2F4F6"/>
            <w:tcMar>
              <w:top w:w="60" w:type="dxa"/>
              <w:bottom w:w="60" w:type="dxa"/>
              <w:left w:w="100" w:type="dxa"/>
              <w:right w:w="100" w:type="dxa"/>
            </w:tcMar>
          </w:tcPr>
          <w:p>
            <w:pPr>
              <w:spacing w:before="0" w:after="0"/>
            </w:pPr>
            <w:r/>
            <w:r>
              <w:rPr>
                <w:color w:val="3C4752"/>
                <w:sz w:val="19"/>
              </w:rPr>
              <w:t>Precision@5</w:t>
            </w:r>
          </w:p>
        </w:tc>
        <w:tc>
          <w:tcPr>
            <w:tcW w:type="dxa" w:w="6336"/>
            <w:shd w:val="clear" w:color="auto" w:fill="F2F4F6"/>
            <w:tcMar>
              <w:top w:w="60" w:type="dxa"/>
              <w:bottom w:w="60" w:type="dxa"/>
              <w:left w:w="100" w:type="dxa"/>
              <w:right w:w="100" w:type="dxa"/>
            </w:tcMar>
          </w:tcPr>
          <w:p>
            <w:pPr>
              <w:spacing w:before="0" w:after="0"/>
            </w:pPr>
            <w:r/>
            <w:r>
              <w:rPr>
                <w:color w:val="3C4752"/>
                <w:sz w:val="19"/>
              </w:rPr>
              <w:t>The share of a candidate’s top five recommended matches that a hand-labelled reference set independently confirms are genuinely good matches — the primary quality metric named in Section 9.</w:t>
            </w:r>
          </w:p>
        </w:tc>
      </w:tr>
    </w:tbl>
    <w:p>
      <w:pPr>
        <w:spacing w:after="80"/>
      </w:pPr>
    </w:p>
    <w:p>
      <w:r>
        <w:rPr>
          <w:b w:val="0"/>
          <w:i w:val="0"/>
        </w:rPr>
        <w:t>A fuller technical glossary, covering terms such as Qualification Pack and National Occupational Standard, is in the Functional Requirements Specification, Section 1.6.</w:t>
      </w:r>
    </w:p>
    <w:p>
      <w:pPr>
        <w:pStyle w:val="Heading2"/>
      </w:pPr>
      <w:r>
        <w:t>Appendix B — Document Set Summary</w:t>
      </w:r>
    </w:p>
    <w:p>
      <w:r>
        <w:rPr>
          <w:b w:val="0"/>
          <w:i w:val="0"/>
        </w:rPr>
        <w:t>For a reviewer new to this platform, the recommended reading order is:</w:t>
      </w:r>
    </w:p>
    <w:p>
      <w:pPr>
        <w:pStyle w:val="ListNumber"/>
        <w:spacing w:before="0" w:after="60"/>
      </w:pPr>
      <w:r>
        <w:t>This document (Business Requirements Document) — the business case and what is required.</w:t>
      </w:r>
    </w:p>
    <w:p>
      <w:pPr>
        <w:pStyle w:val="ListNumber"/>
        <w:spacing w:before="0" w:after="60"/>
      </w:pPr>
      <w:r>
        <w:t>The Functional Requirements Specification — the detailed behaviour and business rules.</w:t>
      </w:r>
    </w:p>
    <w:p>
      <w:pPr>
        <w:pStyle w:val="ListNumber"/>
        <w:spacing w:before="0" w:after="60"/>
      </w:pPr>
      <w:r>
        <w:t>The Architecture Decision Record — the technical reasoning behind how it was built, for readers who need it.</w:t>
      </w:r>
    </w:p>
    <w:p>
      <w:pPr>
        <w:pStyle w:val="Heading2"/>
      </w:pPr>
      <w:r>
        <w:t>Appendix C — Change Control</w:t>
      </w:r>
    </w:p>
    <w:p>
      <w:r>
        <w:rPr>
          <w:b w:val="0"/>
          <w:i w:val="0"/>
        </w:rPr>
        <w:t>This document should be revisited whenever a business objective, a stakeholder need or a top-level risk materially changes. A change to system-level behaviour alone, with no change to the business case, is tracked in the Functional Requirements Specification’s own change control instead.</w:t>
      </w:r>
    </w:p>
    <w:sectPr w:rsidR="00FC693F" w:rsidRPr="0006063C" w:rsidSect="00034616">
      <w:headerReference w:type="default" r:id="rId9"/>
      <w:footerReference w:type="default" r:id="rId10"/>
      <w:pgSz w:w="11906" w:h="16838"/>
      <w:pgMar w:top="1247" w:right="1247" w:bottom="1134" w:left="1247"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06" w:val="left"/>
      </w:tabs>
      <w:jc w:val="center"/>
    </w:pPr>
    <w:r>
      <w:rPr>
        <w:color w:val="6B747C"/>
        <w:sz w:val="16"/>
      </w:rPr>
      <w:t>Confidential — Prepared for Business Review and Client Presentation</w:t>
      <w:tab/>
      <w:tab/>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9D2D8"/>
      </w:pBdr>
    </w:pPr>
    <w:r/>
    <w:r>
      <w:rPr>
        <w:rFonts w:ascii="Calibri" w:hAnsi="Calibri"/>
        <w:color w:val="6B747C"/>
        <w:sz w:val="17"/>
      </w:rPr>
      <w:t>IISM — Business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C475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200"/>
      <w:outlineLvl w:val="0"/>
    </w:pPr>
    <w:rPr>
      <w:rFonts w:asciiTheme="majorHAnsi" w:eastAsiaTheme="majorEastAsia" w:hAnsiTheme="majorHAnsi" w:cstheme="majorBidi" w:ascii="Calibri" w:hAnsi="Calibri"/>
      <w:b/>
      <w:bCs/>
      <w:color w:val="0B2E4E"/>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360" w:after="120"/>
      <w:outlineLvl w:val="1"/>
    </w:pPr>
    <w:rPr>
      <w:rFonts w:asciiTheme="majorHAnsi" w:eastAsiaTheme="majorEastAsia" w:hAnsiTheme="majorHAnsi" w:cstheme="majorBidi" w:ascii="Calibri" w:hAnsi="Calibri"/>
      <w:b/>
      <w:bCs/>
      <w:color w:val="0F6E84"/>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80"/>
      <w:outlineLvl w:val="2"/>
    </w:pPr>
    <w:rPr>
      <w:rFonts w:asciiTheme="majorHAnsi" w:eastAsiaTheme="majorEastAsia" w:hAnsiTheme="majorHAnsi" w:cstheme="majorBidi" w:ascii="Calibri" w:hAnsi="Calibri"/>
      <w:b/>
      <w:bCs/>
      <w:color w:val="0B2E4E"/>
      <w:sz w:val="24"/>
    </w:rPr>
  </w:style>
  <w:style w:type="paragraph" w:styleId="Heading4">
    <w:name w:val="heading 4"/>
    <w:basedOn w:val="Normal"/>
    <w:next w:val="Normal"/>
    <w:link w:val="Heading4Char"/>
    <w:uiPriority w:val="9"/>
    <w:semiHidden/>
    <w:unhideWhenUsed/>
    <w:qFormat/>
    <w:rsid w:val="00FC693F"/>
    <w:pPr>
      <w:keepNext/>
      <w:keepLines/>
      <w:pageBreakBefore w:val="0"/>
      <w:spacing w:before="160" w:after="60"/>
      <w:outlineLvl w:val="3"/>
    </w:pPr>
    <w:rPr>
      <w:rFonts w:asciiTheme="majorHAnsi" w:eastAsiaTheme="majorEastAsia" w:hAnsiTheme="majorHAnsi" w:cstheme="majorBidi" w:ascii="Calibri" w:hAnsi="Calibri"/>
      <w:b/>
      <w:bCs/>
      <w:i/>
      <w:iCs/>
      <w:color w:val="3C4752"/>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Head">
    <w:name w:val="BRHead"/>
    <w:basedOn w:val="Normal"/>
    <w:pPr>
      <w:spacing w:before="120" w:after="40"/>
    </w:pPr>
    <w:rPr>
      <w:b/>
      <w:color w:val="0F6E84"/>
      <w:sz w:val="20"/>
    </w:rPr>
  </w:style>
  <w:style w:type="character" w:customStyle="1" w:styleId="ReqID">
    <w:name w:val="ReqID"/>
    <w:rPr>
      <w:rFonts w:ascii="Consolas" w:hAnsi="Consolas"/>
      <w:b/>
      <w:color w:val="0B2E4E"/>
      <w:sz w:val="19"/>
    </w:rPr>
  </w:style>
  <w:style w:type="paragraph" w:customStyle="1" w:styleId="Caption2">
    <w:name w:val="Caption2"/>
    <w:basedOn w:val="Normal"/>
    <w:rPr>
      <w:i/>
      <w:color w:val="6B747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