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jc w:val="center"/>
      </w:pPr>
      <w:r>
        <w:rPr>
          <w:rFonts w:ascii="Calibri" w:hAnsi="Calibri"/>
          <w:b/>
          <w:color w:val="0F6E84"/>
          <w:sz w:val="30"/>
        </w:rPr>
        <w:t>INTELLIGENT INTEGRATED SKILL MARKETPLACE</w:t>
      </w:r>
    </w:p>
    <w:p>
      <w:pPr>
        <w:spacing w:before="0" w:after="800"/>
        <w:jc w:val="center"/>
      </w:pPr>
      <w:r>
        <w:rPr>
          <w:i/>
          <w:color w:val="6B747C"/>
          <w:sz w:val="22"/>
        </w:rPr>
        <w:t>evolving toward a Workforce Mobility OS</w:t>
      </w:r>
    </w:p>
    <w:p>
      <w:pPr>
        <w:spacing w:before="0" w:after="320"/>
        <w:jc w:val="center"/>
      </w:pPr>
      <w:r>
        <w:rPr>
          <w:rFonts w:ascii="Calibri" w:hAnsi="Calibri"/>
          <w:b/>
          <w:color w:val="0B2E4E"/>
          <w:sz w:val="60"/>
        </w:rPr>
        <w:t>High-Level Design</w:t>
      </w:r>
    </w:p>
    <w:p>
      <w:pPr>
        <w:spacing w:before="0" w:after="80"/>
        <w:jc w:val="center"/>
      </w:pPr>
      <w:r>
        <w:rPr>
          <w:b/>
          <w:color w:val="3C4752"/>
          <w:sz w:val="24"/>
        </w:rPr>
        <w:t>Document Version 1.0</w:t>
      </w:r>
    </w:p>
    <w:p>
      <w:pPr>
        <w:spacing w:before="0" w:after="80"/>
        <w:jc w:val="center"/>
      </w:pPr>
      <w:r>
        <w:rPr>
          <w:b w:val="0"/>
          <w:color w:val="6B747C"/>
          <w:sz w:val="22"/>
        </w:rPr>
        <w:t>Status: Draft — Circulated for Engineering Review</w:t>
      </w:r>
    </w:p>
    <w:p>
      <w:pPr>
        <w:spacing w:before="0" w:after="80"/>
        <w:jc w:val="center"/>
      </w:pPr>
      <w:r>
        <w:rPr>
          <w:b w:val="0"/>
          <w:color w:val="6B747C"/>
          <w:sz w:val="22"/>
        </w:rPr>
        <w:t>Prepared for: Engineering Onboarding and Technical Client Due Diligence</w:t>
      </w:r>
    </w:p>
    <w:p/>
    <w:p/>
    <w:p/>
    <w:p/>
    <w:p/>
    <w:p/>
    <w:tbl>
      <w:tblPr>
        <w:tblW w:type="auto" w:w="0"/>
        <w:jc w:val="center"/>
        <w:tblLayout w:type="fixed"/>
        <w:tblLook w:firstColumn="1" w:firstRow="1" w:lastColumn="0" w:lastRow="0" w:noHBand="0" w:noVBand="1" w:val="04A0"/>
      </w:tblPr>
      <w:tblGrid>
        <w:gridCol w:w="4706"/>
        <w:gridCol w:w="4706"/>
      </w:tblGrid>
      <w:tr>
        <w:tc>
          <w:tcPr>
            <w:tcW w:type="dxa" w:w="2448"/>
            <w:shd w:val="clear" w:color="auto" w:fill="E4F0F2"/>
            <w:tcMar>
              <w:top w:w="60" w:type="dxa"/>
              <w:bottom w:w="60" w:type="dxa"/>
              <w:left w:w="100" w:type="dxa"/>
              <w:right w:w="100" w:type="dxa"/>
            </w:tcMar>
          </w:tcPr>
          <w:p>
            <w:r/>
            <w:r>
              <w:rPr>
                <w:b/>
                <w:color w:val="0B2E4E"/>
                <w:sz w:val="19"/>
              </w:rPr>
              <w:t>Document Title</w:t>
            </w:r>
          </w:p>
        </w:tc>
        <w:tc>
          <w:tcPr>
            <w:tcW w:type="dxa" w:w="6192"/>
            <w:tcMar>
              <w:top w:w="60" w:type="dxa"/>
              <w:bottom w:w="60" w:type="dxa"/>
              <w:left w:w="100" w:type="dxa"/>
              <w:right w:w="100" w:type="dxa"/>
            </w:tcMar>
          </w:tcPr>
          <w:p>
            <w:r/>
            <w:r>
              <w:rPr>
                <w:color w:val="3C4752"/>
                <w:sz w:val="19"/>
              </w:rPr>
              <w:t>IISM High-Level Design (HLD)</w:t>
            </w:r>
          </w:p>
        </w:tc>
      </w:tr>
      <w:tr>
        <w:tc>
          <w:tcPr>
            <w:tcW w:type="dxa" w:w="2448"/>
            <w:shd w:val="clear" w:color="auto" w:fill="E4F0F2"/>
            <w:tcMar>
              <w:top w:w="60" w:type="dxa"/>
              <w:bottom w:w="60" w:type="dxa"/>
              <w:left w:w="100" w:type="dxa"/>
              <w:right w:w="100" w:type="dxa"/>
            </w:tcMar>
          </w:tcPr>
          <w:p>
            <w:r/>
            <w:r>
              <w:rPr>
                <w:b/>
                <w:color w:val="0B2E4E"/>
                <w:sz w:val="19"/>
              </w:rPr>
              <w:t>Version</w:t>
            </w:r>
          </w:p>
        </w:tc>
        <w:tc>
          <w:tcPr>
            <w:tcW w:type="dxa" w:w="6192"/>
            <w:tcMar>
              <w:top w:w="60" w:type="dxa"/>
              <w:bottom w:w="60" w:type="dxa"/>
              <w:left w:w="100" w:type="dxa"/>
              <w:right w:w="100" w:type="dxa"/>
            </w:tcMar>
          </w:tcPr>
          <w:p>
            <w:r/>
            <w:r>
              <w:rPr>
                <w:color w:val="3C4752"/>
                <w:sz w:val="19"/>
              </w:rPr>
              <w:t>1.0</w:t>
            </w:r>
          </w:p>
        </w:tc>
      </w:tr>
      <w:tr>
        <w:tc>
          <w:tcPr>
            <w:tcW w:type="dxa" w:w="2448"/>
            <w:shd w:val="clear" w:color="auto" w:fill="E4F0F2"/>
            <w:tcMar>
              <w:top w:w="60" w:type="dxa"/>
              <w:bottom w:w="60" w:type="dxa"/>
              <w:left w:w="100" w:type="dxa"/>
              <w:right w:w="100" w:type="dxa"/>
            </w:tcMar>
          </w:tcPr>
          <w:p>
            <w:r/>
            <w:r>
              <w:rPr>
                <w:b/>
                <w:color w:val="0B2E4E"/>
                <w:sz w:val="19"/>
              </w:rPr>
              <w:t>Prepared By</w:t>
            </w:r>
          </w:p>
        </w:tc>
        <w:tc>
          <w:tcPr>
            <w:tcW w:type="dxa" w:w="6192"/>
            <w:tcMar>
              <w:top w:w="60" w:type="dxa"/>
              <w:bottom w:w="60" w:type="dxa"/>
              <w:left w:w="100" w:type="dxa"/>
              <w:right w:w="100" w:type="dxa"/>
            </w:tcMar>
          </w:tcPr>
          <w:p>
            <w:r/>
            <w:r>
              <w:rPr>
                <w:color w:val="3C4752"/>
                <w:sz w:val="19"/>
              </w:rPr>
              <w:t>Product &amp; Engineering — IISM Programme</w:t>
            </w:r>
          </w:p>
        </w:tc>
      </w:tr>
      <w:tr>
        <w:tc>
          <w:tcPr>
            <w:tcW w:type="dxa" w:w="2448"/>
            <w:shd w:val="clear" w:color="auto" w:fill="E4F0F2"/>
            <w:tcMar>
              <w:top w:w="60" w:type="dxa"/>
              <w:bottom w:w="60" w:type="dxa"/>
              <w:left w:w="100" w:type="dxa"/>
              <w:right w:w="100" w:type="dxa"/>
            </w:tcMar>
          </w:tcPr>
          <w:p>
            <w:r/>
            <w:r>
              <w:rPr>
                <w:b/>
                <w:color w:val="0B2E4E"/>
                <w:sz w:val="19"/>
              </w:rPr>
              <w:t>Distribution</w:t>
            </w:r>
          </w:p>
        </w:tc>
        <w:tc>
          <w:tcPr>
            <w:tcW w:type="dxa" w:w="6192"/>
            <w:tcMar>
              <w:top w:w="60" w:type="dxa"/>
              <w:bottom w:w="60" w:type="dxa"/>
              <w:left w:w="100" w:type="dxa"/>
              <w:right w:w="100" w:type="dxa"/>
            </w:tcMar>
          </w:tcPr>
          <w:p>
            <w:r/>
            <w:r>
              <w:rPr>
                <w:color w:val="3C4752"/>
                <w:sz w:val="19"/>
              </w:rPr>
              <w:t>Engineering, Technical Client Reviewers</w:t>
            </w:r>
          </w:p>
        </w:tc>
      </w:tr>
      <w:tr>
        <w:tc>
          <w:tcPr>
            <w:tcW w:type="dxa" w:w="2448"/>
            <w:shd w:val="clear" w:color="auto" w:fill="E4F0F2"/>
            <w:tcMar>
              <w:top w:w="60" w:type="dxa"/>
              <w:bottom w:w="60" w:type="dxa"/>
              <w:left w:w="100" w:type="dxa"/>
              <w:right w:w="100" w:type="dxa"/>
            </w:tcMar>
          </w:tcPr>
          <w:p>
            <w:r/>
            <w:r>
              <w:rPr>
                <w:b/>
                <w:color w:val="0B2E4E"/>
                <w:sz w:val="19"/>
              </w:rPr>
              <w:t>Classification</w:t>
            </w:r>
          </w:p>
        </w:tc>
        <w:tc>
          <w:tcPr>
            <w:tcW w:type="dxa" w:w="6192"/>
            <w:tcMar>
              <w:top w:w="60" w:type="dxa"/>
              <w:bottom w:w="60" w:type="dxa"/>
              <w:left w:w="100" w:type="dxa"/>
              <w:right w:w="100" w:type="dxa"/>
            </w:tcMar>
          </w:tcPr>
          <w:p>
            <w:r/>
            <w:r>
              <w:rPr>
                <w:color w:val="3C4752"/>
                <w:sz w:val="19"/>
              </w:rPr>
              <w:t>Confidential — Not for Public Circulation</w:t>
            </w:r>
          </w:p>
        </w:tc>
      </w:tr>
      <w:tr>
        <w:tc>
          <w:tcPr>
            <w:tcW w:type="dxa" w:w="2448"/>
            <w:shd w:val="clear" w:color="auto" w:fill="E4F0F2"/>
            <w:tcMar>
              <w:top w:w="60" w:type="dxa"/>
              <w:bottom w:w="60" w:type="dxa"/>
              <w:left w:w="100" w:type="dxa"/>
              <w:right w:w="100" w:type="dxa"/>
            </w:tcMar>
          </w:tcPr>
          <w:p>
            <w:r/>
            <w:r>
              <w:rPr>
                <w:b/>
                <w:color w:val="0B2E4E"/>
                <w:sz w:val="19"/>
              </w:rPr>
              <w:t>Companion Documents</w:t>
            </w:r>
          </w:p>
        </w:tc>
        <w:tc>
          <w:tcPr>
            <w:tcW w:type="dxa" w:w="6192"/>
            <w:tcMar>
              <w:top w:w="60" w:type="dxa"/>
              <w:bottom w:w="60" w:type="dxa"/>
              <w:left w:w="100" w:type="dxa"/>
              <w:right w:w="100" w:type="dxa"/>
            </w:tcMar>
          </w:tcPr>
          <w:p>
            <w:r/>
            <w:r>
              <w:rPr>
                <w:color w:val="3C4752"/>
                <w:sz w:val="19"/>
              </w:rPr>
              <w:t>Product Requirements Document; Functional Requirements Specification; Business Requirements Document; Architecture Decision Record</w:t>
            </w:r>
          </w:p>
        </w:tc>
      </w:tr>
    </w:tbl>
    <w:p>
      <w:r>
        <w:br w:type="page"/>
      </w:r>
    </w:p>
    <w:p>
      <w:pPr>
        <w:pStyle w:val="Heading1"/>
      </w:pPr>
      <w:r>
        <w:t>Document Control</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152"/>
            <w:shd w:val="clear" w:color="auto" w:fill="0B2E4E"/>
            <w:tcMar>
              <w:top w:w="60" w:type="dxa"/>
              <w:bottom w:w="60" w:type="dxa"/>
              <w:left w:w="100" w:type="dxa"/>
              <w:right w:w="100" w:type="dxa"/>
            </w:tcMar>
            <w:vAlign w:val="center"/>
          </w:tcPr>
          <w:p>
            <w:r/>
            <w:r>
              <w:rPr>
                <w:b/>
                <w:color w:val="FFFFFF"/>
                <w:sz w:val="19"/>
              </w:rPr>
              <w:t>Version</w:t>
            </w:r>
          </w:p>
        </w:tc>
        <w:tc>
          <w:tcPr>
            <w:tcW w:type="dxa" w:w="1296"/>
            <w:shd w:val="clear" w:color="auto" w:fill="0B2E4E"/>
            <w:tcMar>
              <w:top w:w="60" w:type="dxa"/>
              <w:bottom w:w="60" w:type="dxa"/>
              <w:left w:w="100" w:type="dxa"/>
              <w:right w:w="100" w:type="dxa"/>
            </w:tcMar>
            <w:vAlign w:val="center"/>
          </w:tcPr>
          <w:p>
            <w:r/>
            <w:r>
              <w:rPr>
                <w:b/>
                <w:color w:val="FFFFFF"/>
                <w:sz w:val="19"/>
              </w:rPr>
              <w:t>Date</w:t>
            </w:r>
          </w:p>
        </w:tc>
        <w:tc>
          <w:tcPr>
            <w:tcW w:type="dxa" w:w="2304"/>
            <w:shd w:val="clear" w:color="auto" w:fill="0B2E4E"/>
            <w:tcMar>
              <w:top w:w="60" w:type="dxa"/>
              <w:bottom w:w="60" w:type="dxa"/>
              <w:left w:w="100" w:type="dxa"/>
              <w:right w:w="100" w:type="dxa"/>
            </w:tcMar>
            <w:vAlign w:val="center"/>
          </w:tcPr>
          <w:p>
            <w:r/>
            <w:r>
              <w:rPr>
                <w:b/>
                <w:color w:val="FFFFFF"/>
                <w:sz w:val="19"/>
              </w:rPr>
              <w:t>Author</w:t>
            </w:r>
          </w:p>
        </w:tc>
        <w:tc>
          <w:tcPr>
            <w:tcW w:type="dxa" w:w="3888"/>
            <w:shd w:val="clear" w:color="auto" w:fill="0B2E4E"/>
            <w:tcMar>
              <w:top w:w="60" w:type="dxa"/>
              <w:bottom w:w="60" w:type="dxa"/>
              <w:left w:w="100" w:type="dxa"/>
              <w:right w:w="100" w:type="dxa"/>
            </w:tcMar>
            <w:vAlign w:val="center"/>
          </w:tcPr>
          <w:p>
            <w:r/>
            <w:r>
              <w:rPr>
                <w:b/>
                <w:color w:val="FFFFFF"/>
                <w:sz w:val="19"/>
              </w:rPr>
              <w:t>Summary of Changes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0.1</w:t>
            </w:r>
          </w:p>
        </w:tc>
        <w:tc>
          <w:tcPr>
            <w:tcW w:type="dxa" w:w="1296"/>
            <w:shd w:val="clear" w:color="auto" w:fill="F2F4F6"/>
            <w:tcMar>
              <w:top w:w="60" w:type="dxa"/>
              <w:bottom w:w="60" w:type="dxa"/>
              <w:left w:w="100" w:type="dxa"/>
              <w:right w:w="100" w:type="dxa"/>
            </w:tcMar>
          </w:tcPr>
          <w:p>
            <w:pPr>
              <w:spacing w:before="0" w:after="0"/>
            </w:pPr>
            <w:r/>
            <w:r>
              <w:rPr>
                <w:color w:val="3C4752"/>
                <w:sz w:val="19"/>
              </w:rPr>
              <w:t>2026-09-24</w:t>
            </w:r>
          </w:p>
        </w:tc>
        <w:tc>
          <w:tcPr>
            <w:tcW w:type="dxa" w:w="2304"/>
            <w:shd w:val="clear" w:color="auto" w:fill="F2F4F6"/>
            <w:tcMar>
              <w:top w:w="60" w:type="dxa"/>
              <w:bottom w:w="60" w:type="dxa"/>
              <w:left w:w="100" w:type="dxa"/>
              <w:right w:w="100" w:type="dxa"/>
            </w:tcMar>
          </w:tcPr>
          <w:p>
            <w:pPr>
              <w:spacing w:before="0" w:after="0"/>
            </w:pPr>
            <w:r/>
            <w:r>
              <w:rPr>
                <w:color w:val="3C4752"/>
                <w:sz w:val="19"/>
              </w:rPr>
              <w:t>Engineering</w:t>
            </w:r>
          </w:p>
        </w:tc>
        <w:tc>
          <w:tcPr>
            <w:tcW w:type="dxa" w:w="3888"/>
            <w:shd w:val="clear" w:color="auto" w:fill="F2F4F6"/>
            <w:tcMar>
              <w:top w:w="60" w:type="dxa"/>
              <w:bottom w:w="60" w:type="dxa"/>
              <w:left w:w="100" w:type="dxa"/>
              <w:right w:w="100" w:type="dxa"/>
            </w:tcMar>
          </w:tcPr>
          <w:p>
            <w:pPr>
              <w:spacing w:before="0" w:after="0"/>
            </w:pPr>
            <w:r/>
            <w:r>
              <w:rPr>
                <w:color w:val="3C4752"/>
                <w:sz w:val="19"/>
              </w:rPr>
              <w:t>Initial draft, alongside the BRD, PRD and FRS.</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1.0</w:t>
            </w:r>
          </w:p>
        </w:tc>
        <w:tc>
          <w:tcPr>
            <w:tcW w:type="dxa" w:w="1296"/>
            <w:shd w:val="clear" w:color="auto" w:fill="FFFFFF"/>
            <w:tcMar>
              <w:top w:w="60" w:type="dxa"/>
              <w:bottom w:w="60" w:type="dxa"/>
              <w:left w:w="100" w:type="dxa"/>
              <w:right w:w="100" w:type="dxa"/>
            </w:tcMar>
          </w:tcPr>
          <w:p>
            <w:pPr>
              <w:spacing w:before="0" w:after="0"/>
            </w:pPr>
            <w:r/>
            <w:r>
              <w:rPr>
                <w:color w:val="3C4752"/>
                <w:sz w:val="19"/>
              </w:rPr>
              <w:t>2026-09-24</w:t>
            </w:r>
          </w:p>
        </w:tc>
        <w:tc>
          <w:tcPr>
            <w:tcW w:type="dxa" w:w="2304"/>
            <w:shd w:val="clear" w:color="auto" w:fill="FFFFFF"/>
            <w:tcMar>
              <w:top w:w="60" w:type="dxa"/>
              <w:bottom w:w="60" w:type="dxa"/>
              <w:left w:w="100" w:type="dxa"/>
              <w:right w:w="100" w:type="dxa"/>
            </w:tcMar>
          </w:tcPr>
          <w:p>
            <w:pPr>
              <w:spacing w:before="0" w:after="0"/>
            </w:pPr>
            <w:r/>
            <w:r>
              <w:rPr>
                <w:color w:val="3C4752"/>
                <w:sz w:val="19"/>
              </w:rPr>
              <w:t>Engineering</w:t>
            </w:r>
          </w:p>
        </w:tc>
        <w:tc>
          <w:tcPr>
            <w:tcW w:type="dxa" w:w="3888"/>
            <w:shd w:val="clear" w:color="auto" w:fill="FFFFFF"/>
            <w:tcMar>
              <w:top w:w="60" w:type="dxa"/>
              <w:bottom w:w="60" w:type="dxa"/>
              <w:left w:w="100" w:type="dxa"/>
              <w:right w:w="100" w:type="dxa"/>
            </w:tcMar>
          </w:tcPr>
          <w:p>
            <w:pPr>
              <w:spacing w:before="0" w:after="0"/>
            </w:pPr>
            <w:r/>
            <w:r>
              <w:rPr>
                <w:color w:val="3C4752"/>
                <w:sz w:val="19"/>
              </w:rPr>
              <w:t>First version circulated for review.</w:t>
            </w:r>
          </w:p>
        </w:tc>
      </w:tr>
    </w:tbl>
    <w:p>
      <w:pPr>
        <w:spacing w:after="80"/>
      </w:pPr>
    </w:p>
    <w:p>
      <w:pPr>
        <w:pStyle w:val="Heading2"/>
      </w:pPr>
      <w:r>
        <w:t>Approval</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880"/>
            <w:shd w:val="clear" w:color="auto" w:fill="0B2E4E"/>
            <w:tcMar>
              <w:top w:w="60" w:type="dxa"/>
              <w:bottom w:w="60" w:type="dxa"/>
              <w:left w:w="100" w:type="dxa"/>
              <w:right w:w="100" w:type="dxa"/>
            </w:tcMar>
            <w:vAlign w:val="center"/>
          </w:tcPr>
          <w:p>
            <w:r/>
            <w:r>
              <w:rPr>
                <w:b/>
                <w:color w:val="FFFFFF"/>
                <w:sz w:val="19"/>
              </w:rPr>
              <w:t>Role</w:t>
            </w:r>
          </w:p>
        </w:tc>
        <w:tc>
          <w:tcPr>
            <w:tcW w:type="dxa" w:w="2160"/>
            <w:shd w:val="clear" w:color="auto" w:fill="0B2E4E"/>
            <w:tcMar>
              <w:top w:w="60" w:type="dxa"/>
              <w:bottom w:w="60" w:type="dxa"/>
              <w:left w:w="100" w:type="dxa"/>
              <w:right w:w="100" w:type="dxa"/>
            </w:tcMar>
            <w:vAlign w:val="center"/>
          </w:tcPr>
          <w:p>
            <w:r/>
            <w:r>
              <w:rPr>
                <w:b/>
                <w:color w:val="FFFFFF"/>
                <w:sz w:val="19"/>
              </w:rPr>
              <w:t>Name</w:t>
            </w:r>
          </w:p>
        </w:tc>
        <w:tc>
          <w:tcPr>
            <w:tcW w:type="dxa" w:w="2448"/>
            <w:shd w:val="clear" w:color="auto" w:fill="0B2E4E"/>
            <w:tcMar>
              <w:top w:w="60" w:type="dxa"/>
              <w:bottom w:w="60" w:type="dxa"/>
              <w:left w:w="100" w:type="dxa"/>
              <w:right w:w="100" w:type="dxa"/>
            </w:tcMar>
            <w:vAlign w:val="center"/>
          </w:tcPr>
          <w:p>
            <w:r/>
            <w:r>
              <w:rPr>
                <w:b/>
                <w:color w:val="FFFFFF"/>
                <w:sz w:val="19"/>
              </w:rPr>
              <w:t>Signature / Approval</w:t>
            </w:r>
          </w:p>
        </w:tc>
        <w:tc>
          <w:tcPr>
            <w:tcW w:type="dxa" w:w="1152"/>
            <w:shd w:val="clear" w:color="auto" w:fill="0B2E4E"/>
            <w:tcMar>
              <w:top w:w="60" w:type="dxa"/>
              <w:bottom w:w="60" w:type="dxa"/>
              <w:left w:w="100" w:type="dxa"/>
              <w:right w:w="100" w:type="dxa"/>
            </w:tcMar>
            <w:vAlign w:val="center"/>
          </w:tcPr>
          <w:p>
            <w:r/>
            <w:r>
              <w:rPr>
                <w:b/>
                <w:color w:val="FFFFFF"/>
                <w:sz w:val="19"/>
              </w:rPr>
              <w:t>Date</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Engineering Lead</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448"/>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2880"/>
            <w:shd w:val="clear" w:color="auto" w:fill="FFFFFF"/>
            <w:tcMar>
              <w:top w:w="60" w:type="dxa"/>
              <w:bottom w:w="60" w:type="dxa"/>
              <w:left w:w="100" w:type="dxa"/>
              <w:right w:w="100" w:type="dxa"/>
            </w:tcMar>
          </w:tcPr>
          <w:p>
            <w:pPr>
              <w:spacing w:before="0" w:after="0"/>
            </w:pPr>
            <w:r/>
            <w:r>
              <w:rPr>
                <w:color w:val="3C4752"/>
                <w:sz w:val="19"/>
              </w:rPr>
              <w:t>Product Owner</w:t>
            </w:r>
          </w:p>
        </w:tc>
        <w:tc>
          <w:tcPr>
            <w:tcW w:type="dxa" w:w="2160"/>
            <w:shd w:val="clear" w:color="auto" w:fill="FFFFFF"/>
            <w:tcMar>
              <w:top w:w="60" w:type="dxa"/>
              <w:bottom w:w="60" w:type="dxa"/>
              <w:left w:w="100" w:type="dxa"/>
              <w:right w:w="100" w:type="dxa"/>
            </w:tcMar>
          </w:tcPr>
          <w:p>
            <w:pPr>
              <w:spacing w:before="0" w:after="0"/>
            </w:pPr>
            <w:r/>
            <w:r>
              <w:rPr>
                <w:color w:val="3C4752"/>
                <w:sz w:val="19"/>
              </w:rPr>
            </w:r>
          </w:p>
        </w:tc>
        <w:tc>
          <w:tcPr>
            <w:tcW w:type="dxa" w:w="2448"/>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r>
        <w:tc>
          <w:tcPr>
            <w:tcW w:type="dxa" w:w="2880"/>
            <w:shd w:val="clear" w:color="auto" w:fill="F2F4F6"/>
            <w:tcMar>
              <w:top w:w="60" w:type="dxa"/>
              <w:bottom w:w="60" w:type="dxa"/>
              <w:left w:w="100" w:type="dxa"/>
              <w:right w:w="100" w:type="dxa"/>
            </w:tcMar>
          </w:tcPr>
          <w:p>
            <w:pPr>
              <w:spacing w:before="0" w:after="0"/>
            </w:pPr>
            <w:r/>
            <w:r>
              <w:rPr>
                <w:color w:val="3C4752"/>
                <w:sz w:val="19"/>
              </w:rPr>
              <w:t>Security / Compliance Reviewer</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448"/>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bl>
    <w:p>
      <w:pPr>
        <w:spacing w:after="80"/>
      </w:pPr>
    </w:p>
    <w:p>
      <w:r>
        <w:br w:type="page"/>
      </w:r>
    </w:p>
    <w:p>
      <w:pPr>
        <w:pStyle w:val="Heading1"/>
      </w:pPr>
      <w:r>
        <w:t>Table of Contents</w:t>
      </w:r>
    </w:p>
    <w:p>
      <w:r>
        <w:fldChar w:fldCharType="begin" w:dirty="true"/>
        <w:instrText xml:space="preserve">TOC \o "1-3" \h \z \u</w:instrText>
        <w:fldChar w:fldCharType="separate"/>
      </w:r>
      <w:r>
        <w:t>Right-click and choose “Update Field” to generate the table of contents.</w:t>
      </w:r>
      <w:r>
        <w:fldChar w:fldCharType="end"/>
      </w:r>
    </w:p>
    <w:p>
      <w:r>
        <w:br w:type="page"/>
      </w:r>
    </w:p>
    <w:p>
      <w:pPr>
        <w:pStyle w:val="Heading1"/>
      </w:pPr>
      <w:r>
        <w:rPr>
          <w:color w:val="0F6E84"/>
        </w:rPr>
        <w:t xml:space="preserve">1  </w:t>
      </w:r>
      <w:r>
        <w:t>Purpose and Scope</w:t>
      </w:r>
    </w:p>
    <w:p>
      <w:r>
        <w:rPr>
          <w:b w:val="0"/>
          <w:i w:val="0"/>
        </w:rPr>
        <w:t>This High-Level Design (HLD) documents the macro architecture of the Intelligent Integrated Skill Marketplace as it exists today: the module and data-store boundaries, the external integrations built and implied, how data actually moves through the system for the platform’s core operations, and — forward-looking — where the functionality recorded as future backlog in the Product Requirements Document should logically attach given the boundaries already in place.</w:t>
      </w:r>
    </w:p>
    <w:p>
      <w:r>
        <w:rPr>
          <w:b w:val="0"/>
          <w:i w:val="0"/>
        </w:rPr>
        <w:t>It is written for engineers onboarding onto the codebase and for technical reviewers on the client side conducting due diligence, and assumes familiarity with standard web architecture terms. It deliberately does not restate the business rules in the Functional Requirements Specification, nor the reasoning behind each architectural choice, which is recorded in full in the Architecture Decision Record (42 decisions) — this document names the decision being applied and moves on.</w:t>
      </w:r>
    </w:p>
    <w:p>
      <w:pPr>
        <w:pStyle w:val="Heading2"/>
      </w:pPr>
      <w:r>
        <w:t>1.1  What This Document Covers</w:t>
      </w:r>
    </w:p>
    <w:p>
      <w:pPr>
        <w:pStyle w:val="ListBullet"/>
        <w:spacing w:before="0" w:after="60"/>
      </w:pPr>
      <w:r>
        <w:t>The system’s macro architecture: modules, their boundaries, and their dependency direction (Section 3).</w:t>
      </w:r>
    </w:p>
    <w:p>
      <w:pPr>
        <w:pStyle w:val="ListBullet"/>
        <w:spacing w:before="0" w:after="60"/>
      </w:pPr>
      <w:r>
        <w:t>Every datastore in use, what it holds, and its approximate current scale (Section 4).</w:t>
      </w:r>
    </w:p>
    <w:p>
      <w:pPr>
        <w:pStyle w:val="ListBullet"/>
        <w:spacing w:before="0" w:after="60"/>
      </w:pPr>
      <w:r>
        <w:t>Every external integration point that is built, and every one implied by the architecture but not yet implemented (Section 5).</w:t>
      </w:r>
    </w:p>
    <w:p>
      <w:pPr>
        <w:pStyle w:val="ListBullet"/>
        <w:spacing w:before="0" w:after="60"/>
      </w:pPr>
      <w:r>
        <w:t>How data actually flows for the platform’s core operations, in structural diagrams (Section 6).</w:t>
      </w:r>
    </w:p>
    <w:p>
      <w:pPr>
        <w:pStyle w:val="ListBullet"/>
        <w:spacing w:before="0" w:after="60"/>
      </w:pPr>
      <w:r>
        <w:t>Where new functionality and external hooks should sit, given the module boundaries already in place (Section 8).</w:t>
      </w:r>
    </w:p>
    <w:p>
      <w:r>
        <w:rPr>
          <w:b w:val="0"/>
          <w:i w:val="0"/>
        </w:rPr>
        <w:t>It does not cover: infrastructure-as-code detail, CI/CD pipeline configuration, or line-level API contracts — the OpenAPI schema generated directly from the running service is the source of truth for the latter.</w:t>
      </w:r>
    </w:p>
    <w:p>
      <w:r>
        <w:br w:type="page"/>
      </w:r>
    </w:p>
    <w:p>
      <w:pPr>
        <w:pStyle w:val="Heading1"/>
      </w:pPr>
      <w:r>
        <w:rPr>
          <w:color w:val="0F6E84"/>
        </w:rPr>
        <w:t xml:space="preserve">2  </w:t>
      </w:r>
      <w:r>
        <w:t>Architectural Style and Guiding Principles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304"/>
            <w:shd w:val="clear" w:color="auto" w:fill="0B2E4E"/>
            <w:tcMar>
              <w:top w:w="60" w:type="dxa"/>
              <w:bottom w:w="60" w:type="dxa"/>
              <w:left w:w="100" w:type="dxa"/>
              <w:right w:w="100" w:type="dxa"/>
            </w:tcMar>
            <w:vAlign w:val="center"/>
          </w:tcPr>
          <w:p>
            <w:r/>
            <w:r>
              <w:rPr>
                <w:b/>
                <w:color w:val="FFFFFF"/>
                <w:sz w:val="19"/>
              </w:rPr>
              <w:t>Principle</w:t>
            </w:r>
          </w:p>
        </w:tc>
        <w:tc>
          <w:tcPr>
            <w:tcW w:type="dxa" w:w="4896"/>
            <w:shd w:val="clear" w:color="auto" w:fill="0B2E4E"/>
            <w:tcMar>
              <w:top w:w="60" w:type="dxa"/>
              <w:bottom w:w="60" w:type="dxa"/>
              <w:left w:w="100" w:type="dxa"/>
              <w:right w:w="100" w:type="dxa"/>
            </w:tcMar>
            <w:vAlign w:val="center"/>
          </w:tcPr>
          <w:p>
            <w:r/>
            <w:r>
              <w:rPr>
                <w:b/>
                <w:color w:val="FFFFFF"/>
                <w:sz w:val="19"/>
              </w:rPr>
              <w:t>Decision</w:t>
            </w:r>
          </w:p>
        </w:tc>
        <w:tc>
          <w:tcPr>
            <w:tcW w:type="dxa" w:w="1440"/>
            <w:shd w:val="clear" w:color="auto" w:fill="0B2E4E"/>
            <w:tcMar>
              <w:top w:w="60" w:type="dxa"/>
              <w:bottom w:w="60" w:type="dxa"/>
              <w:left w:w="100" w:type="dxa"/>
              <w:right w:w="100" w:type="dxa"/>
            </w:tcMar>
            <w:vAlign w:val="center"/>
          </w:tcPr>
          <w:p>
            <w:r/>
            <w:r>
              <w:rPr>
                <w:b/>
                <w:color w:val="FFFFFF"/>
                <w:sz w:val="19"/>
              </w:rPr>
              <w:t>Reference</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Layered system</w:t>
            </w:r>
          </w:p>
        </w:tc>
        <w:tc>
          <w:tcPr>
            <w:tcW w:type="dxa" w:w="4896"/>
            <w:shd w:val="clear" w:color="auto" w:fill="F2F4F6"/>
            <w:tcMar>
              <w:top w:w="60" w:type="dxa"/>
              <w:bottom w:w="60" w:type="dxa"/>
              <w:left w:w="100" w:type="dxa"/>
              <w:right w:w="100" w:type="dxa"/>
            </w:tcMar>
          </w:tcPr>
          <w:p>
            <w:pPr>
              <w:spacing w:before="0" w:after="0"/>
            </w:pPr>
            <w:r/>
            <w:r>
              <w:rPr>
                <w:color w:val="3C4752"/>
                <w:sz w:val="19"/>
              </w:rPr>
              <w:t>A Marketplace Layer (records, transactions) and an Intelligence Layer (scoring, matching) are kept decoupled. The Intelligence Layer consumes Marketplace data; it owns none of it.</w:t>
            </w:r>
          </w:p>
        </w:tc>
        <w:tc>
          <w:tcPr>
            <w:tcW w:type="dxa" w:w="1440"/>
            <w:shd w:val="clear" w:color="auto" w:fill="F2F4F6"/>
            <w:tcMar>
              <w:top w:w="60" w:type="dxa"/>
              <w:bottom w:w="60" w:type="dxa"/>
              <w:left w:w="100" w:type="dxa"/>
              <w:right w:w="100" w:type="dxa"/>
            </w:tcMar>
          </w:tcPr>
          <w:p>
            <w:pPr>
              <w:spacing w:before="0" w:after="0"/>
            </w:pPr>
            <w:r/>
            <w:r>
              <w:rPr>
                <w:color w:val="3C4752"/>
                <w:sz w:val="19"/>
              </w:rPr>
              <w:t>ADR-001</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Modular monolith</w:t>
            </w:r>
          </w:p>
        </w:tc>
        <w:tc>
          <w:tcPr>
            <w:tcW w:type="dxa" w:w="4896"/>
            <w:shd w:val="clear" w:color="auto" w:fill="FFFFFF"/>
            <w:tcMar>
              <w:top w:w="60" w:type="dxa"/>
              <w:bottom w:w="60" w:type="dxa"/>
              <w:left w:w="100" w:type="dxa"/>
              <w:right w:w="100" w:type="dxa"/>
            </w:tcMar>
          </w:tcPr>
          <w:p>
            <w:pPr>
              <w:spacing w:before="0" w:after="0"/>
            </w:pPr>
            <w:r/>
            <w:r>
              <w:rPr>
                <w:color w:val="3C4752"/>
                <w:sz w:val="19"/>
              </w:rPr>
              <w:t>One deployable application, internally organised into strictly bounded modules under api/modules/. Each module exposes a narrow public interface through its __init__.py; other modules import only from that interface, never from a module’s internals.</w:t>
            </w:r>
          </w:p>
        </w:tc>
        <w:tc>
          <w:tcPr>
            <w:tcW w:type="dxa" w:w="1440"/>
            <w:shd w:val="clear" w:color="auto" w:fill="FFFFFF"/>
            <w:tcMar>
              <w:top w:w="60" w:type="dxa"/>
              <w:bottom w:w="60" w:type="dxa"/>
              <w:left w:w="100" w:type="dxa"/>
              <w:right w:w="100" w:type="dxa"/>
            </w:tcMar>
          </w:tcPr>
          <w:p>
            <w:pPr>
              <w:spacing w:before="0" w:after="0"/>
            </w:pPr>
            <w:r/>
            <w:r>
              <w:rPr>
                <w:color w:val="3C4752"/>
                <w:sz w:val="19"/>
              </w:rPr>
              <w:t>ADR-014</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API-first, REST</w:t>
            </w:r>
          </w:p>
        </w:tc>
        <w:tc>
          <w:tcPr>
            <w:tcW w:type="dxa" w:w="4896"/>
            <w:shd w:val="clear" w:color="auto" w:fill="F2F4F6"/>
            <w:tcMar>
              <w:top w:w="60" w:type="dxa"/>
              <w:bottom w:w="60" w:type="dxa"/>
              <w:left w:w="100" w:type="dxa"/>
              <w:right w:w="100" w:type="dxa"/>
            </w:tcMar>
          </w:tcPr>
          <w:p>
            <w:pPr>
              <w:spacing w:before="0" w:after="0"/>
            </w:pPr>
            <w:r/>
            <w:r>
              <w:rPr>
                <w:color w:val="3C4752"/>
                <w:sz w:val="19"/>
              </w:rPr>
              <w:t>Every capability, including one consumed only by another internal module, is reachable through a documented REST endpoint. No GraphQL.</w:t>
            </w:r>
          </w:p>
        </w:tc>
        <w:tc>
          <w:tcPr>
            <w:tcW w:type="dxa" w:w="1440"/>
            <w:shd w:val="clear" w:color="auto" w:fill="F2F4F6"/>
            <w:tcMar>
              <w:top w:w="60" w:type="dxa"/>
              <w:bottom w:w="60" w:type="dxa"/>
              <w:left w:w="100" w:type="dxa"/>
              <w:right w:w="100" w:type="dxa"/>
            </w:tcMar>
          </w:tcPr>
          <w:p>
            <w:pPr>
              <w:spacing w:before="0" w:after="0"/>
            </w:pPr>
            <w:r/>
            <w:r>
              <w:rPr>
                <w:color w:val="3C4752"/>
                <w:sz w:val="19"/>
              </w:rPr>
              <w:t>ADR-016</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Event-driven for async work</w:t>
            </w:r>
          </w:p>
        </w:tc>
        <w:tc>
          <w:tcPr>
            <w:tcW w:type="dxa" w:w="4896"/>
            <w:shd w:val="clear" w:color="auto" w:fill="FFFFFF"/>
            <w:tcMar>
              <w:top w:w="60" w:type="dxa"/>
              <w:bottom w:w="60" w:type="dxa"/>
              <w:left w:w="100" w:type="dxa"/>
              <w:right w:w="100" w:type="dxa"/>
            </w:tcMar>
          </w:tcPr>
          <w:p>
            <w:pPr>
              <w:spacing w:before="0" w:after="0"/>
            </w:pPr>
            <w:r/>
            <w:r>
              <w:rPr>
                <w:color w:val="3C4752"/>
                <w:sz w:val="19"/>
              </w:rPr>
              <w:t>Matching precomputation, notification delivery and scheduled sweeps run through a worker, never inline in a request handler.</w:t>
            </w:r>
          </w:p>
        </w:tc>
        <w:tc>
          <w:tcPr>
            <w:tcW w:type="dxa" w:w="1440"/>
            <w:shd w:val="clear" w:color="auto" w:fill="FFFFFF"/>
            <w:tcMar>
              <w:top w:w="60" w:type="dxa"/>
              <w:bottom w:w="60" w:type="dxa"/>
              <w:left w:w="100" w:type="dxa"/>
              <w:right w:w="100" w:type="dxa"/>
            </w:tcMar>
          </w:tcPr>
          <w:p>
            <w:pPr>
              <w:spacing w:before="0" w:after="0"/>
            </w:pPr>
            <w:r/>
            <w:r>
              <w:rPr>
                <w:color w:val="3C4752"/>
                <w:sz w:val="19"/>
              </w:rPr>
              <w:t>ADR-006, ADR-027</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Adapter pattern for every external system</w:t>
            </w:r>
          </w:p>
        </w:tc>
        <w:tc>
          <w:tcPr>
            <w:tcW w:type="dxa" w:w="4896"/>
            <w:shd w:val="clear" w:color="auto" w:fill="F2F4F6"/>
            <w:tcMar>
              <w:top w:w="60" w:type="dxa"/>
              <w:bottom w:w="60" w:type="dxa"/>
              <w:left w:w="100" w:type="dxa"/>
              <w:right w:w="100" w:type="dxa"/>
            </w:tcMar>
          </w:tcPr>
          <w:p>
            <w:pPr>
              <w:spacing w:before="0" w:after="0"/>
            </w:pPr>
            <w:r/>
            <w:r>
              <w:rPr>
                <w:color w:val="3C4752"/>
                <w:sz w:val="19"/>
              </w:rPr>
              <w:t>No module calls a third-party SDK directly. Every external system — payment, assessment, notification, the national skills-data source — sits behind an adapter interface in api/adapters/.</w:t>
            </w:r>
          </w:p>
        </w:tc>
        <w:tc>
          <w:tcPr>
            <w:tcW w:type="dxa" w:w="1440"/>
            <w:shd w:val="clear" w:color="auto" w:fill="F2F4F6"/>
            <w:tcMar>
              <w:top w:w="60" w:type="dxa"/>
              <w:bottom w:w="60" w:type="dxa"/>
              <w:left w:w="100" w:type="dxa"/>
              <w:right w:w="100" w:type="dxa"/>
            </w:tcMar>
          </w:tcPr>
          <w:p>
            <w:pPr>
              <w:spacing w:before="0" w:after="0"/>
            </w:pPr>
            <w:r/>
            <w:r>
              <w:rPr>
                <w:color w:val="3C4752"/>
                <w:sz w:val="19"/>
              </w:rPr>
              <w:t>ADR-017</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Deterministic decides, a model only explains</w:t>
            </w:r>
          </w:p>
        </w:tc>
        <w:tc>
          <w:tcPr>
            <w:tcW w:type="dxa" w:w="4896"/>
            <w:shd w:val="clear" w:color="auto" w:fill="FFFFFF"/>
            <w:tcMar>
              <w:top w:w="60" w:type="dxa"/>
              <w:bottom w:w="60" w:type="dxa"/>
              <w:left w:w="100" w:type="dxa"/>
              <w:right w:w="100" w:type="dxa"/>
            </w:tcMar>
          </w:tcPr>
          <w:p>
            <w:pPr>
              <w:spacing w:before="0" w:after="0"/>
            </w:pPr>
            <w:r/>
            <w:r>
              <w:rPr>
                <w:color w:val="3C4752"/>
                <w:sz w:val="19"/>
              </w:rPr>
              <w:t>No AI model output ever decides a score or a match. Where a model is used at all, it runs at write time, never inside a request, and its output is cached.</w:t>
            </w:r>
          </w:p>
        </w:tc>
        <w:tc>
          <w:tcPr>
            <w:tcW w:type="dxa" w:w="1440"/>
            <w:shd w:val="clear" w:color="auto" w:fill="FFFFFF"/>
            <w:tcMar>
              <w:top w:w="60" w:type="dxa"/>
              <w:bottom w:w="60" w:type="dxa"/>
              <w:left w:w="100" w:type="dxa"/>
              <w:right w:w="100" w:type="dxa"/>
            </w:tcMar>
          </w:tcPr>
          <w:p>
            <w:pPr>
              <w:spacing w:before="0" w:after="0"/>
            </w:pPr>
            <w:r/>
            <w:r>
              <w:rPr>
                <w:color w:val="3C4752"/>
                <w:sz w:val="19"/>
              </w:rPr>
              <w:t>ADR-005, ADR-018, ADR-036</w:t>
            </w:r>
          </w:p>
        </w:tc>
      </w:tr>
    </w:tbl>
    <w:p>
      <w:pPr>
        <w:spacing w:after="80"/>
      </w:pPr>
    </w:p>
    <w:p>
      <w:r>
        <w:rPr>
          <w:b w:val="0"/>
          <w:i w:val="0"/>
        </w:rPr>
        <w:t>These six decisions are what make the module map in Section 3 legible: the dependency direction is not incidental, it is the mechanism by which the modular monolith could later be split into services without a rewrite (ADR-014’s stated purpose).</w:t>
      </w:r>
    </w:p>
    <w:p>
      <w:r>
        <w:br w:type="page"/>
      </w:r>
    </w:p>
    <w:p>
      <w:pPr>
        <w:pStyle w:val="Heading1"/>
      </w:pPr>
      <w:r>
        <w:rPr>
          <w:color w:val="0F6E84"/>
        </w:rPr>
        <w:t xml:space="preserve">3  </w:t>
      </w:r>
      <w:r>
        <w:t>Macro Architecture</w:t>
      </w:r>
    </w:p>
    <w:p>
      <w:r>
        <w:rPr>
          <w:b w:val="0"/>
          <w:i w:val="0"/>
        </w:rPr>
        <w:t>One deployable FastAPI application (a modular monolith, ADR-014), internally split into bounded modules under api/modules/, cross-cutting concerns under api/core/, and every external system reached through an adapter under api/adapters/. The web client is a separate deployable Next.js application talking to the API over REST only.</w:t>
      </w:r>
    </w:p>
    <w:p>
      <w:pPr>
        <w:jc w:val="center"/>
      </w:pPr>
      <w:r>
        <w:drawing>
          <wp:inline xmlns:a="http://schemas.openxmlformats.org/drawingml/2006/main" xmlns:pic="http://schemas.openxmlformats.org/drawingml/2006/picture">
            <wp:extent cx="5760720" cy="6191258"/>
            <wp:docPr id="1" name="Picture 1"/>
            <wp:cNvGraphicFramePr>
              <a:graphicFrameLocks noChangeAspect="1"/>
            </wp:cNvGraphicFramePr>
            <a:graphic>
              <a:graphicData uri="http://schemas.openxmlformats.org/drawingml/2006/picture">
                <pic:pic>
                  <pic:nvPicPr>
                    <pic:cNvPr id="0" name="hld_1_macro.png"/>
                    <pic:cNvPicPr/>
                  </pic:nvPicPr>
                  <pic:blipFill>
                    <a:blip r:embed="rId11"/>
                    <a:stretch>
                      <a:fillRect/>
                    </a:stretch>
                  </pic:blipFill>
                  <pic:spPr>
                    <a:xfrm>
                      <a:off x="0" y="0"/>
                      <a:ext cx="5760720" cy="6191258"/>
                    </a:xfrm>
                    <a:prstGeom prst="rect"/>
                  </pic:spPr>
                </pic:pic>
              </a:graphicData>
            </a:graphic>
          </wp:inline>
        </w:drawing>
      </w:r>
    </w:p>
    <w:p>
      <w:pPr>
        <w:pStyle w:val="Caption2"/>
        <w:jc w:val="center"/>
      </w:pPr>
      <w:r>
        <w:t>Figure 1. Macro architecture, top to bottom: client, API gateway, the two functional layers, the leaf modules, the adapter layer, and the datastores/external systems each adapter reaches.</w:t>
      </w:r>
    </w:p>
    <w:p>
      <w:pPr>
        <w:spacing w:after="40"/>
      </w:pPr>
    </w:p>
    <w:p>
      <w:pPr>
        <w:pStyle w:val="Heading2"/>
      </w:pPr>
      <w:r>
        <w:t>3.1  Module Directory</w:t>
      </w:r>
    </w:p>
    <w:p>
      <w:r>
        <w:rPr>
          <w:b w:val="0"/>
          <w:i w:val="0"/>
        </w:rPr>
        <w:t>Every module under api/modules/ today, its layer, and its dependency direction. “Depends on” names what it imports through another module’s public interface only — never another module’s internals (ADR-014).</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728"/>
            <w:shd w:val="clear" w:color="auto" w:fill="0B2E4E"/>
            <w:tcMar>
              <w:top w:w="60" w:type="dxa"/>
              <w:bottom w:w="60" w:type="dxa"/>
              <w:left w:w="100" w:type="dxa"/>
              <w:right w:w="100" w:type="dxa"/>
            </w:tcMar>
            <w:vAlign w:val="center"/>
          </w:tcPr>
          <w:p>
            <w:r/>
            <w:r>
              <w:rPr>
                <w:b/>
                <w:color w:val="FFFFFF"/>
                <w:sz w:val="19"/>
              </w:rPr>
              <w:t>Module</w:t>
            </w:r>
          </w:p>
        </w:tc>
        <w:tc>
          <w:tcPr>
            <w:tcW w:type="dxa" w:w="2304"/>
            <w:shd w:val="clear" w:color="auto" w:fill="0B2E4E"/>
            <w:tcMar>
              <w:top w:w="60" w:type="dxa"/>
              <w:bottom w:w="60" w:type="dxa"/>
              <w:left w:w="100" w:type="dxa"/>
              <w:right w:w="100" w:type="dxa"/>
            </w:tcMar>
            <w:vAlign w:val="center"/>
          </w:tcPr>
          <w:p>
            <w:r/>
            <w:r>
              <w:rPr>
                <w:b/>
                <w:color w:val="FFFFFF"/>
                <w:sz w:val="19"/>
              </w:rPr>
              <w:t>Layer</w:t>
            </w:r>
          </w:p>
        </w:tc>
        <w:tc>
          <w:tcPr>
            <w:tcW w:type="dxa" w:w="2880"/>
            <w:shd w:val="clear" w:color="auto" w:fill="0B2E4E"/>
            <w:tcMar>
              <w:top w:w="60" w:type="dxa"/>
              <w:bottom w:w="60" w:type="dxa"/>
              <w:left w:w="100" w:type="dxa"/>
              <w:right w:w="100" w:type="dxa"/>
            </w:tcMar>
            <w:vAlign w:val="center"/>
          </w:tcPr>
          <w:p>
            <w:r/>
            <w:r>
              <w:rPr>
                <w:b/>
                <w:color w:val="FFFFFF"/>
                <w:sz w:val="19"/>
              </w:rPr>
              <w:t>Depends On</w:t>
            </w:r>
          </w:p>
        </w:tc>
        <w:tc>
          <w:tcPr>
            <w:tcW w:type="dxa" w:w="2304"/>
            <w:shd w:val="clear" w:color="auto" w:fill="0B2E4E"/>
            <w:tcMar>
              <w:top w:w="60" w:type="dxa"/>
              <w:bottom w:w="60" w:type="dxa"/>
              <w:left w:w="100" w:type="dxa"/>
              <w:right w:w="100" w:type="dxa"/>
            </w:tcMar>
            <w:vAlign w:val="center"/>
          </w:tcPr>
          <w:p>
            <w:r/>
            <w:r>
              <w:rPr>
                <w:b/>
                <w:color w:val="FFFFFF"/>
                <w:sz w:val="19"/>
              </w:rPr>
              <w:t>Nothing Depends On It?</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identity</w:t>
            </w:r>
          </w:p>
        </w:tc>
        <w:tc>
          <w:tcPr>
            <w:tcW w:type="dxa" w:w="2304"/>
            <w:shd w:val="clear" w:color="auto" w:fill="F2F4F6"/>
            <w:tcMar>
              <w:top w:w="60" w:type="dxa"/>
              <w:bottom w:w="60" w:type="dxa"/>
              <w:left w:w="100" w:type="dxa"/>
              <w:right w:w="100" w:type="dxa"/>
            </w:tcMar>
          </w:tcPr>
          <w:p>
            <w:pPr>
              <w:spacing w:before="0" w:after="0"/>
            </w:pPr>
            <w:r/>
            <w:r>
              <w:rPr>
                <w:color w:val="3C4752"/>
                <w:sz w:val="19"/>
              </w:rPr>
              <w:t>Marketplace</w:t>
            </w:r>
          </w:p>
        </w:tc>
        <w:tc>
          <w:tcPr>
            <w:tcW w:type="dxa" w:w="2880"/>
            <w:shd w:val="clear" w:color="auto" w:fill="F2F4F6"/>
            <w:tcMar>
              <w:top w:w="60" w:type="dxa"/>
              <w:bottom w:w="60" w:type="dxa"/>
              <w:left w:w="100" w:type="dxa"/>
              <w:right w:w="100" w:type="dxa"/>
            </w:tcMar>
          </w:tcPr>
          <w:p>
            <w:pPr>
              <w:spacing w:before="0" w:after="0"/>
            </w:pPr>
            <w:r/>
            <w:r>
              <w:rPr>
                <w:color w:val="3C4752"/>
                <w:sz w:val="19"/>
              </w:rPr>
              <w:t>— (foundational)</w:t>
            </w:r>
          </w:p>
        </w:tc>
        <w:tc>
          <w:tcPr>
            <w:tcW w:type="dxa" w:w="2304"/>
            <w:shd w:val="clear" w:color="auto" w:fill="F2F4F6"/>
            <w:tcMar>
              <w:top w:w="60" w:type="dxa"/>
              <w:bottom w:w="60" w:type="dxa"/>
              <w:left w:w="100" w:type="dxa"/>
              <w:right w:w="100" w:type="dxa"/>
            </w:tcMar>
          </w:tcPr>
          <w:p>
            <w:pPr>
              <w:spacing w:before="0" w:after="0"/>
            </w:pPr>
            <w:r/>
            <w:r>
              <w:rPr>
                <w:color w:val="3C4752"/>
                <w:sz w:val="19"/>
              </w:rPr>
              <w:t>No — nearly everything depends on it</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marketplace</w:t>
            </w:r>
          </w:p>
        </w:tc>
        <w:tc>
          <w:tcPr>
            <w:tcW w:type="dxa" w:w="2304"/>
            <w:shd w:val="clear" w:color="auto" w:fill="FFFFFF"/>
            <w:tcMar>
              <w:top w:w="60" w:type="dxa"/>
              <w:bottom w:w="60" w:type="dxa"/>
              <w:left w:w="100" w:type="dxa"/>
              <w:right w:w="100" w:type="dxa"/>
            </w:tcMar>
          </w:tcPr>
          <w:p>
            <w:pPr>
              <w:spacing w:before="0" w:after="0"/>
            </w:pPr>
            <w:r/>
            <w:r>
              <w:rPr>
                <w:color w:val="3C4752"/>
                <w:sz w:val="19"/>
              </w:rPr>
              <w:t>Marketplace</w:t>
            </w:r>
          </w:p>
        </w:tc>
        <w:tc>
          <w:tcPr>
            <w:tcW w:type="dxa" w:w="2880"/>
            <w:shd w:val="clear" w:color="auto" w:fill="FFFFFF"/>
            <w:tcMar>
              <w:top w:w="60" w:type="dxa"/>
              <w:bottom w:w="60" w:type="dxa"/>
              <w:left w:w="100" w:type="dxa"/>
              <w:right w:w="100" w:type="dxa"/>
            </w:tcMar>
          </w:tcPr>
          <w:p>
            <w:pPr>
              <w:spacing w:before="0" w:after="0"/>
            </w:pPr>
            <w:r/>
            <w:r>
              <w:rPr>
                <w:color w:val="3C4752"/>
                <w:sz w:val="19"/>
              </w:rPr>
              <w:t>identity, geography, skills</w:t>
            </w:r>
          </w:p>
        </w:tc>
        <w:tc>
          <w:tcPr>
            <w:tcW w:type="dxa" w:w="2304"/>
            <w:shd w:val="clear" w:color="auto" w:fill="FFFFFF"/>
            <w:tcMar>
              <w:top w:w="60" w:type="dxa"/>
              <w:bottom w:w="60" w:type="dxa"/>
              <w:left w:w="100" w:type="dxa"/>
              <w:right w:w="100" w:type="dxa"/>
            </w:tcMar>
          </w:tcPr>
          <w:p>
            <w:pPr>
              <w:spacing w:before="0" w:after="0"/>
            </w:pPr>
            <w:r/>
            <w:r>
              <w:rPr>
                <w:color w:val="3C4752"/>
                <w:sz w:val="19"/>
              </w:rPr>
              <w:t>No</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skills</w:t>
            </w:r>
          </w:p>
        </w:tc>
        <w:tc>
          <w:tcPr>
            <w:tcW w:type="dxa" w:w="2304"/>
            <w:shd w:val="clear" w:color="auto" w:fill="F2F4F6"/>
            <w:tcMar>
              <w:top w:w="60" w:type="dxa"/>
              <w:bottom w:w="60" w:type="dxa"/>
              <w:left w:w="100" w:type="dxa"/>
              <w:right w:w="100" w:type="dxa"/>
            </w:tcMar>
          </w:tcPr>
          <w:p>
            <w:pPr>
              <w:spacing w:before="0" w:after="0"/>
            </w:pPr>
            <w:r/>
            <w:r>
              <w:rPr>
                <w:color w:val="3C4752"/>
                <w:sz w:val="19"/>
              </w:rPr>
              <w:t>Marketplace (taxonomy)</w:t>
            </w:r>
          </w:p>
        </w:tc>
        <w:tc>
          <w:tcPr>
            <w:tcW w:type="dxa" w:w="2880"/>
            <w:shd w:val="clear" w:color="auto" w:fill="F2F4F6"/>
            <w:tcMar>
              <w:top w:w="60" w:type="dxa"/>
              <w:bottom w:w="60" w:type="dxa"/>
              <w:left w:w="100" w:type="dxa"/>
              <w:right w:w="100" w:type="dxa"/>
            </w:tcMar>
          </w:tcPr>
          <w:p>
            <w:pPr>
              <w:spacing w:before="0" w:after="0"/>
            </w:pPr>
            <w:r/>
            <w:r>
              <w:rPr>
                <w:color w:val="3C4752"/>
                <w:sz w:val="19"/>
              </w:rPr>
              <w:t>— (foundational)</w:t>
            </w:r>
          </w:p>
        </w:tc>
        <w:tc>
          <w:tcPr>
            <w:tcW w:type="dxa" w:w="2304"/>
            <w:shd w:val="clear" w:color="auto" w:fill="F2F4F6"/>
            <w:tcMar>
              <w:top w:w="60" w:type="dxa"/>
              <w:bottom w:w="60" w:type="dxa"/>
              <w:left w:w="100" w:type="dxa"/>
              <w:right w:w="100" w:type="dxa"/>
            </w:tcMar>
          </w:tcPr>
          <w:p>
            <w:pPr>
              <w:spacing w:before="0" w:after="0"/>
            </w:pPr>
            <w:r/>
            <w:r>
              <w:rPr>
                <w:color w:val="3C4752"/>
                <w:sz w:val="19"/>
              </w:rPr>
              <w:t>No</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geography</w:t>
            </w:r>
          </w:p>
        </w:tc>
        <w:tc>
          <w:tcPr>
            <w:tcW w:type="dxa" w:w="2304"/>
            <w:shd w:val="clear" w:color="auto" w:fill="FFFFFF"/>
            <w:tcMar>
              <w:top w:w="60" w:type="dxa"/>
              <w:bottom w:w="60" w:type="dxa"/>
              <w:left w:w="100" w:type="dxa"/>
              <w:right w:w="100" w:type="dxa"/>
            </w:tcMar>
          </w:tcPr>
          <w:p>
            <w:pPr>
              <w:spacing w:before="0" w:after="0"/>
            </w:pPr>
            <w:r/>
            <w:r>
              <w:rPr>
                <w:color w:val="3C4752"/>
                <w:sz w:val="19"/>
              </w:rPr>
              <w:t>Marketplace</w:t>
            </w:r>
          </w:p>
        </w:tc>
        <w:tc>
          <w:tcPr>
            <w:tcW w:type="dxa" w:w="2880"/>
            <w:shd w:val="clear" w:color="auto" w:fill="FFFFFF"/>
            <w:tcMar>
              <w:top w:w="60" w:type="dxa"/>
              <w:bottom w:w="60" w:type="dxa"/>
              <w:left w:w="100" w:type="dxa"/>
              <w:right w:w="100" w:type="dxa"/>
            </w:tcMar>
          </w:tcPr>
          <w:p>
            <w:pPr>
              <w:spacing w:before="0" w:after="0"/>
            </w:pPr>
            <w:r/>
            <w:r>
              <w:rPr>
                <w:color w:val="3C4752"/>
                <w:sz w:val="19"/>
              </w:rPr>
              <w:t>— (foundational)</w:t>
            </w:r>
          </w:p>
        </w:tc>
        <w:tc>
          <w:tcPr>
            <w:tcW w:type="dxa" w:w="2304"/>
            <w:shd w:val="clear" w:color="auto" w:fill="FFFFFF"/>
            <w:tcMar>
              <w:top w:w="60" w:type="dxa"/>
              <w:bottom w:w="60" w:type="dxa"/>
              <w:left w:w="100" w:type="dxa"/>
              <w:right w:w="100" w:type="dxa"/>
            </w:tcMar>
          </w:tcPr>
          <w:p>
            <w:pPr>
              <w:spacing w:before="0" w:after="0"/>
            </w:pPr>
            <w:r/>
            <w:r>
              <w:rPr>
                <w:color w:val="3C4752"/>
                <w:sz w:val="19"/>
              </w:rPr>
              <w:t>No</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applications</w:t>
            </w:r>
          </w:p>
        </w:tc>
        <w:tc>
          <w:tcPr>
            <w:tcW w:type="dxa" w:w="2304"/>
            <w:shd w:val="clear" w:color="auto" w:fill="F2F4F6"/>
            <w:tcMar>
              <w:top w:w="60" w:type="dxa"/>
              <w:bottom w:w="60" w:type="dxa"/>
              <w:left w:w="100" w:type="dxa"/>
              <w:right w:w="100" w:type="dxa"/>
            </w:tcMar>
          </w:tcPr>
          <w:p>
            <w:pPr>
              <w:spacing w:before="0" w:after="0"/>
            </w:pPr>
            <w:r/>
            <w:r>
              <w:rPr>
                <w:color w:val="3C4752"/>
                <w:sz w:val="19"/>
              </w:rPr>
              <w:t>Marketplace</w:t>
            </w:r>
          </w:p>
        </w:tc>
        <w:tc>
          <w:tcPr>
            <w:tcW w:type="dxa" w:w="2880"/>
            <w:shd w:val="clear" w:color="auto" w:fill="F2F4F6"/>
            <w:tcMar>
              <w:top w:w="60" w:type="dxa"/>
              <w:bottom w:w="60" w:type="dxa"/>
              <w:left w:w="100" w:type="dxa"/>
              <w:right w:w="100" w:type="dxa"/>
            </w:tcMar>
          </w:tcPr>
          <w:p>
            <w:pPr>
              <w:spacing w:before="0" w:after="0"/>
            </w:pPr>
            <w:r/>
            <w:r>
              <w:rPr>
                <w:color w:val="3C4752"/>
                <w:sz w:val="19"/>
              </w:rPr>
              <w:t>marketplace, matching</w:t>
            </w:r>
          </w:p>
        </w:tc>
        <w:tc>
          <w:tcPr>
            <w:tcW w:type="dxa" w:w="2304"/>
            <w:shd w:val="clear" w:color="auto" w:fill="F2F4F6"/>
            <w:tcMar>
              <w:top w:w="60" w:type="dxa"/>
              <w:bottom w:w="60" w:type="dxa"/>
              <w:left w:w="100" w:type="dxa"/>
              <w:right w:w="100" w:type="dxa"/>
            </w:tcMar>
          </w:tcPr>
          <w:p>
            <w:pPr>
              <w:spacing w:before="0" w:after="0"/>
            </w:pPr>
            <w:r/>
            <w:r>
              <w:rPr>
                <w:color w:val="3C4752"/>
                <w:sz w:val="19"/>
              </w:rPr>
              <w:t>No</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interests</w:t>
            </w:r>
          </w:p>
        </w:tc>
        <w:tc>
          <w:tcPr>
            <w:tcW w:type="dxa" w:w="2304"/>
            <w:shd w:val="clear" w:color="auto" w:fill="FFFFFF"/>
            <w:tcMar>
              <w:top w:w="60" w:type="dxa"/>
              <w:bottom w:w="60" w:type="dxa"/>
              <w:left w:w="100" w:type="dxa"/>
              <w:right w:w="100" w:type="dxa"/>
            </w:tcMar>
          </w:tcPr>
          <w:p>
            <w:pPr>
              <w:spacing w:before="0" w:after="0"/>
            </w:pPr>
            <w:r/>
            <w:r>
              <w:rPr>
                <w:color w:val="3C4752"/>
                <w:sz w:val="19"/>
              </w:rPr>
              <w:t>Marketplace</w:t>
            </w:r>
          </w:p>
        </w:tc>
        <w:tc>
          <w:tcPr>
            <w:tcW w:type="dxa" w:w="2880"/>
            <w:shd w:val="clear" w:color="auto" w:fill="FFFFFF"/>
            <w:tcMar>
              <w:top w:w="60" w:type="dxa"/>
              <w:bottom w:w="60" w:type="dxa"/>
              <w:left w:w="100" w:type="dxa"/>
              <w:right w:w="100" w:type="dxa"/>
            </w:tcMar>
          </w:tcPr>
          <w:p>
            <w:pPr>
              <w:spacing w:before="0" w:after="0"/>
            </w:pPr>
            <w:r/>
            <w:r>
              <w:rPr>
                <w:color w:val="3C4752"/>
                <w:sz w:val="19"/>
              </w:rPr>
              <w:t>marketplace, matching</w:t>
            </w:r>
          </w:p>
        </w:tc>
        <w:tc>
          <w:tcPr>
            <w:tcW w:type="dxa" w:w="2304"/>
            <w:shd w:val="clear" w:color="auto" w:fill="FFFFFF"/>
            <w:tcMar>
              <w:top w:w="60" w:type="dxa"/>
              <w:bottom w:w="60" w:type="dxa"/>
              <w:left w:w="100" w:type="dxa"/>
              <w:right w:w="100" w:type="dxa"/>
            </w:tcMar>
          </w:tcPr>
          <w:p>
            <w:pPr>
              <w:spacing w:before="0" w:after="0"/>
            </w:pPr>
            <w:r/>
            <w:r>
              <w:rPr>
                <w:color w:val="3C4752"/>
                <w:sz w:val="19"/>
              </w:rPr>
              <w:t>No</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notifications</w:t>
            </w:r>
          </w:p>
        </w:tc>
        <w:tc>
          <w:tcPr>
            <w:tcW w:type="dxa" w:w="2304"/>
            <w:shd w:val="clear" w:color="auto" w:fill="F2F4F6"/>
            <w:tcMar>
              <w:top w:w="60" w:type="dxa"/>
              <w:bottom w:w="60" w:type="dxa"/>
              <w:left w:w="100" w:type="dxa"/>
              <w:right w:w="100" w:type="dxa"/>
            </w:tcMar>
          </w:tcPr>
          <w:p>
            <w:pPr>
              <w:spacing w:before="0" w:after="0"/>
            </w:pPr>
            <w:r/>
            <w:r>
              <w:rPr>
                <w:color w:val="3C4752"/>
                <w:sz w:val="19"/>
              </w:rPr>
              <w:t>Marketplace (outbox)</w:t>
            </w:r>
          </w:p>
        </w:tc>
        <w:tc>
          <w:tcPr>
            <w:tcW w:type="dxa" w:w="2880"/>
            <w:shd w:val="clear" w:color="auto" w:fill="F2F4F6"/>
            <w:tcMar>
              <w:top w:w="60" w:type="dxa"/>
              <w:bottom w:w="60" w:type="dxa"/>
              <w:left w:w="100" w:type="dxa"/>
              <w:right w:w="100" w:type="dxa"/>
            </w:tcMar>
          </w:tcPr>
          <w:p>
            <w:pPr>
              <w:spacing w:before="0" w:after="0"/>
            </w:pPr>
            <w:r/>
            <w:r>
              <w:rPr>
                <w:color w:val="3C4752"/>
                <w:sz w:val="19"/>
              </w:rPr>
              <w:t>identity</w:t>
            </w:r>
          </w:p>
        </w:tc>
        <w:tc>
          <w:tcPr>
            <w:tcW w:type="dxa" w:w="2304"/>
            <w:shd w:val="clear" w:color="auto" w:fill="F2F4F6"/>
            <w:tcMar>
              <w:top w:w="60" w:type="dxa"/>
              <w:bottom w:w="60" w:type="dxa"/>
              <w:left w:w="100" w:type="dxa"/>
              <w:right w:w="100" w:type="dxa"/>
            </w:tcMar>
          </w:tcPr>
          <w:p>
            <w:pPr>
              <w:spacing w:before="0" w:after="0"/>
            </w:pPr>
            <w:r/>
            <w:r>
              <w:rPr>
                <w:color w:val="3C4752"/>
                <w:sz w:val="19"/>
              </w:rPr>
              <w:t>No — alerts and others enqueue through it</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alerts</w:t>
            </w:r>
          </w:p>
        </w:tc>
        <w:tc>
          <w:tcPr>
            <w:tcW w:type="dxa" w:w="2304"/>
            <w:shd w:val="clear" w:color="auto" w:fill="FFFFFF"/>
            <w:tcMar>
              <w:top w:w="60" w:type="dxa"/>
              <w:bottom w:w="60" w:type="dxa"/>
              <w:left w:w="100" w:type="dxa"/>
              <w:right w:w="100" w:type="dxa"/>
            </w:tcMar>
          </w:tcPr>
          <w:p>
            <w:pPr>
              <w:spacing w:before="0" w:after="0"/>
            </w:pPr>
            <w:r/>
            <w:r>
              <w:rPr>
                <w:color w:val="3C4752"/>
                <w:sz w:val="19"/>
              </w:rPr>
              <w:t>Marketplace (worker-only)</w:t>
            </w:r>
          </w:p>
        </w:tc>
        <w:tc>
          <w:tcPr>
            <w:tcW w:type="dxa" w:w="2880"/>
            <w:shd w:val="clear" w:color="auto" w:fill="FFFFFF"/>
            <w:tcMar>
              <w:top w:w="60" w:type="dxa"/>
              <w:bottom w:w="60" w:type="dxa"/>
              <w:left w:w="100" w:type="dxa"/>
              <w:right w:w="100" w:type="dxa"/>
            </w:tcMar>
          </w:tcPr>
          <w:p>
            <w:pPr>
              <w:spacing w:before="0" w:after="0"/>
            </w:pPr>
            <w:r/>
            <w:r>
              <w:rPr>
                <w:color w:val="3C4752"/>
                <w:sz w:val="19"/>
              </w:rPr>
              <w:t>matching, notifications, marketplace</w:t>
            </w:r>
          </w:p>
        </w:tc>
        <w:tc>
          <w:tcPr>
            <w:tcW w:type="dxa" w:w="2304"/>
            <w:shd w:val="clear" w:color="auto" w:fill="FFFFFF"/>
            <w:tcMar>
              <w:top w:w="60" w:type="dxa"/>
              <w:bottom w:w="60" w:type="dxa"/>
              <w:left w:w="100" w:type="dxa"/>
              <w:right w:w="100" w:type="dxa"/>
            </w:tcMar>
          </w:tcPr>
          <w:p>
            <w:pPr>
              <w:spacing w:before="0" w:after="0"/>
            </w:pPr>
            <w:r/>
            <w:r>
              <w:rPr>
                <w:color w:val="3C4752"/>
                <w:sz w:val="19"/>
              </w:rPr>
              <w:t>Yes</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matching</w:t>
            </w:r>
          </w:p>
        </w:tc>
        <w:tc>
          <w:tcPr>
            <w:tcW w:type="dxa" w:w="2304"/>
            <w:shd w:val="clear" w:color="auto" w:fill="F2F4F6"/>
            <w:tcMar>
              <w:top w:w="60" w:type="dxa"/>
              <w:bottom w:w="60" w:type="dxa"/>
              <w:left w:w="100" w:type="dxa"/>
              <w:right w:w="100" w:type="dxa"/>
            </w:tcMar>
          </w:tcPr>
          <w:p>
            <w:pPr>
              <w:spacing w:before="0" w:after="0"/>
            </w:pPr>
            <w:r/>
            <w:r>
              <w:rPr>
                <w:color w:val="3C4752"/>
                <w:sz w:val="19"/>
              </w:rPr>
              <w:t>Intelligence</w:t>
            </w:r>
          </w:p>
        </w:tc>
        <w:tc>
          <w:tcPr>
            <w:tcW w:type="dxa" w:w="2880"/>
            <w:shd w:val="clear" w:color="auto" w:fill="F2F4F6"/>
            <w:tcMar>
              <w:top w:w="60" w:type="dxa"/>
              <w:bottom w:w="60" w:type="dxa"/>
              <w:left w:w="100" w:type="dxa"/>
              <w:right w:w="100" w:type="dxa"/>
            </w:tcMar>
          </w:tcPr>
          <w:p>
            <w:pPr>
              <w:spacing w:before="0" w:after="0"/>
            </w:pPr>
            <w:r/>
            <w:r>
              <w:rPr>
                <w:color w:val="3C4752"/>
                <w:sz w:val="19"/>
              </w:rPr>
              <w:t>marketplace, skills (reads only)</w:t>
            </w:r>
          </w:p>
        </w:tc>
        <w:tc>
          <w:tcPr>
            <w:tcW w:type="dxa" w:w="2304"/>
            <w:shd w:val="clear" w:color="auto" w:fill="F2F4F6"/>
            <w:tcMar>
              <w:top w:w="60" w:type="dxa"/>
              <w:bottom w:w="60" w:type="dxa"/>
              <w:left w:w="100" w:type="dxa"/>
              <w:right w:w="100" w:type="dxa"/>
            </w:tcMar>
          </w:tcPr>
          <w:p>
            <w:pPr>
              <w:spacing w:before="0" w:after="0"/>
            </w:pPr>
            <w:r/>
            <w:r>
              <w:rPr>
                <w:color w:val="3C4752"/>
                <w:sz w:val="19"/>
              </w:rPr>
              <w:t>No — applications, alerts and the console all depend on it</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privacy</w:t>
            </w:r>
          </w:p>
        </w:tc>
        <w:tc>
          <w:tcPr>
            <w:tcW w:type="dxa" w:w="2304"/>
            <w:shd w:val="clear" w:color="auto" w:fill="FFFFFF"/>
            <w:tcMar>
              <w:top w:w="60" w:type="dxa"/>
              <w:bottom w:w="60" w:type="dxa"/>
              <w:left w:w="100" w:type="dxa"/>
              <w:right w:w="100" w:type="dxa"/>
            </w:tcMar>
          </w:tcPr>
          <w:p>
            <w:pPr>
              <w:spacing w:before="0" w:after="0"/>
            </w:pPr>
            <w:r/>
            <w:r>
              <w:rPr>
                <w:color w:val="3C4752"/>
                <w:sz w:val="19"/>
              </w:rPr>
              <w:t>Leaf</w:t>
            </w:r>
          </w:p>
        </w:tc>
        <w:tc>
          <w:tcPr>
            <w:tcW w:type="dxa" w:w="2880"/>
            <w:shd w:val="clear" w:color="auto" w:fill="FFFFFF"/>
            <w:tcMar>
              <w:top w:w="60" w:type="dxa"/>
              <w:bottom w:w="60" w:type="dxa"/>
              <w:left w:w="100" w:type="dxa"/>
              <w:right w:w="100" w:type="dxa"/>
            </w:tcMar>
          </w:tcPr>
          <w:p>
            <w:pPr>
              <w:spacing w:before="0" w:after="0"/>
            </w:pPr>
            <w:r/>
            <w:r>
              <w:rPr>
                <w:color w:val="3C4752"/>
                <w:sz w:val="19"/>
              </w:rPr>
              <w:t>every module above</w:t>
            </w:r>
          </w:p>
        </w:tc>
        <w:tc>
          <w:tcPr>
            <w:tcW w:type="dxa" w:w="2304"/>
            <w:shd w:val="clear" w:color="auto" w:fill="FFFFFF"/>
            <w:tcMar>
              <w:top w:w="60" w:type="dxa"/>
              <w:bottom w:w="60" w:type="dxa"/>
              <w:left w:w="100" w:type="dxa"/>
              <w:right w:w="100" w:type="dxa"/>
            </w:tcMar>
          </w:tcPr>
          <w:p>
            <w:pPr>
              <w:spacing w:before="0" w:after="0"/>
            </w:pPr>
            <w:r/>
            <w:r>
              <w:rPr>
                <w:color w:val="3C4752"/>
                <w:sz w:val="19"/>
              </w:rPr>
              <w:t>Yes</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operations</w:t>
            </w:r>
          </w:p>
        </w:tc>
        <w:tc>
          <w:tcPr>
            <w:tcW w:type="dxa" w:w="2304"/>
            <w:shd w:val="clear" w:color="auto" w:fill="F2F4F6"/>
            <w:tcMar>
              <w:top w:w="60" w:type="dxa"/>
              <w:bottom w:w="60" w:type="dxa"/>
              <w:left w:w="100" w:type="dxa"/>
              <w:right w:w="100" w:type="dxa"/>
            </w:tcMar>
          </w:tcPr>
          <w:p>
            <w:pPr>
              <w:spacing w:before="0" w:after="0"/>
            </w:pPr>
            <w:r/>
            <w:r>
              <w:rPr>
                <w:color w:val="3C4752"/>
                <w:sz w:val="19"/>
              </w:rPr>
              <w:t>Leaf</w:t>
            </w:r>
          </w:p>
        </w:tc>
        <w:tc>
          <w:tcPr>
            <w:tcW w:type="dxa" w:w="2880"/>
            <w:shd w:val="clear" w:color="auto" w:fill="F2F4F6"/>
            <w:tcMar>
              <w:top w:w="60" w:type="dxa"/>
              <w:bottom w:w="60" w:type="dxa"/>
              <w:left w:w="100" w:type="dxa"/>
              <w:right w:w="100" w:type="dxa"/>
            </w:tcMar>
          </w:tcPr>
          <w:p>
            <w:pPr>
              <w:spacing w:before="0" w:after="0"/>
            </w:pPr>
            <w:r/>
            <w:r>
              <w:rPr>
                <w:color w:val="3C4752"/>
                <w:sz w:val="19"/>
              </w:rPr>
              <w:t>identity, marketplace</w:t>
            </w:r>
          </w:p>
        </w:tc>
        <w:tc>
          <w:tcPr>
            <w:tcW w:type="dxa" w:w="2304"/>
            <w:shd w:val="clear" w:color="auto" w:fill="F2F4F6"/>
            <w:tcMar>
              <w:top w:w="60" w:type="dxa"/>
              <w:bottom w:w="60" w:type="dxa"/>
              <w:left w:w="100" w:type="dxa"/>
              <w:right w:w="100" w:type="dxa"/>
            </w:tcMar>
          </w:tcPr>
          <w:p>
            <w:pPr>
              <w:spacing w:before="0" w:after="0"/>
            </w:pPr>
            <w:r/>
            <w:r>
              <w:rPr>
                <w:color w:val="3C4752"/>
                <w:sz w:val="19"/>
              </w:rPr>
              <w:t>Yes</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analytics</w:t>
            </w:r>
          </w:p>
        </w:tc>
        <w:tc>
          <w:tcPr>
            <w:tcW w:type="dxa" w:w="2304"/>
            <w:shd w:val="clear" w:color="auto" w:fill="FFFFFF"/>
            <w:tcMar>
              <w:top w:w="60" w:type="dxa"/>
              <w:bottom w:w="60" w:type="dxa"/>
              <w:left w:w="100" w:type="dxa"/>
              <w:right w:w="100" w:type="dxa"/>
            </w:tcMar>
          </w:tcPr>
          <w:p>
            <w:pPr>
              <w:spacing w:before="0" w:after="0"/>
            </w:pPr>
            <w:r/>
            <w:r>
              <w:rPr>
                <w:color w:val="3C4752"/>
                <w:sz w:val="19"/>
              </w:rPr>
              <w:t>Leaf</w:t>
            </w:r>
          </w:p>
        </w:tc>
        <w:tc>
          <w:tcPr>
            <w:tcW w:type="dxa" w:w="2880"/>
            <w:shd w:val="clear" w:color="auto" w:fill="FFFFFF"/>
            <w:tcMar>
              <w:top w:w="60" w:type="dxa"/>
              <w:bottom w:w="60" w:type="dxa"/>
              <w:left w:w="100" w:type="dxa"/>
              <w:right w:w="100" w:type="dxa"/>
            </w:tcMar>
          </w:tcPr>
          <w:p>
            <w:pPr>
              <w:spacing w:before="0" w:after="0"/>
            </w:pPr>
            <w:r/>
            <w:r>
              <w:rPr>
                <w:color w:val="3C4752"/>
                <w:sz w:val="19"/>
              </w:rPr>
              <w:t>— (foundational)</w:t>
            </w:r>
          </w:p>
        </w:tc>
        <w:tc>
          <w:tcPr>
            <w:tcW w:type="dxa" w:w="2304"/>
            <w:shd w:val="clear" w:color="auto" w:fill="FFFFFF"/>
            <w:tcMar>
              <w:top w:w="60" w:type="dxa"/>
              <w:bottom w:w="60" w:type="dxa"/>
              <w:left w:w="100" w:type="dxa"/>
              <w:right w:w="100" w:type="dxa"/>
            </w:tcMar>
          </w:tcPr>
          <w:p>
            <w:pPr>
              <w:spacing w:before="0" w:after="0"/>
            </w:pPr>
            <w:r/>
            <w:r>
              <w:rPr>
                <w:color w:val="3C4752"/>
                <w:sz w:val="19"/>
              </w:rPr>
              <w:t>No — every module records through it</w:t>
            </w:r>
          </w:p>
        </w:tc>
      </w:tr>
    </w:tbl>
    <w:p>
      <w:pPr>
        <w:spacing w:after="80"/>
      </w:pPr>
    </w:p>
    <w:p>
      <w:r>
        <w:rPr>
          <w:b w:val="0"/>
          <w:i w:val="0"/>
        </w:rPr>
        <w:t>career_paths/ and a general-purpose intelligence/ module are named in the architecture (ADR-008, ADR-005/013/018) and reserved in the module tree’s own documentation, but carry no code today — see Section 9.</w:t>
      </w:r>
    </w:p>
    <w:p>
      <w:r>
        <w:br w:type="page"/>
      </w:r>
    </w:p>
    <w:p>
      <w:pPr>
        <w:pStyle w:val="Heading1"/>
      </w:pPr>
      <w:r>
        <w:rPr>
          <w:color w:val="0F6E84"/>
        </w:rPr>
        <w:t xml:space="preserve">4  </w:t>
      </w:r>
      <w:r>
        <w:t>Databases and Schemas</w:t>
      </w:r>
    </w:p>
    <w:p>
      <w:r>
        <w:rPr>
          <w:b w:val="0"/>
          <w:i w:val="0"/>
        </w:rPr>
        <w:t>Three datastores are in use today, each for a distinct reason (ADR-003, ADR-034), plus one engine feature — pgvector — that is enabled and structurally present but not yet exercised by any table.</w:t>
      </w:r>
    </w:p>
    <w:p>
      <w:pPr>
        <w:pStyle w:val="Heading2"/>
      </w:pPr>
      <w:r>
        <w:t>4.1  PostgreSQL — the Operational Store of Record</w:t>
      </w:r>
    </w:p>
    <w:p>
      <w:r>
        <w:rPr>
          <w:b w:val="0"/>
          <w:i w:val="0"/>
        </w:rPr>
        <w:t>Every request-time read and write goes through PostgreSQL. 44 tables, grouped below by the domain they belong to, with row counts as verified directly against the development instance.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448"/>
            <w:shd w:val="clear" w:color="auto" w:fill="0B2E4E"/>
            <w:tcMar>
              <w:top w:w="60" w:type="dxa"/>
              <w:bottom w:w="60" w:type="dxa"/>
              <w:left w:w="100" w:type="dxa"/>
              <w:right w:w="100" w:type="dxa"/>
            </w:tcMar>
            <w:vAlign w:val="center"/>
          </w:tcPr>
          <w:p>
            <w:r/>
            <w:r>
              <w:rPr>
                <w:b/>
                <w:color w:val="FFFFFF"/>
                <w:sz w:val="19"/>
              </w:rPr>
              <w:t>Domain</w:t>
            </w:r>
          </w:p>
        </w:tc>
        <w:tc>
          <w:tcPr>
            <w:tcW w:type="dxa" w:w="3744"/>
            <w:shd w:val="clear" w:color="auto" w:fill="0B2E4E"/>
            <w:tcMar>
              <w:top w:w="60" w:type="dxa"/>
              <w:bottom w:w="60" w:type="dxa"/>
              <w:left w:w="100" w:type="dxa"/>
              <w:right w:w="100" w:type="dxa"/>
            </w:tcMar>
            <w:vAlign w:val="center"/>
          </w:tcPr>
          <w:p>
            <w:r/>
            <w:r>
              <w:rPr>
                <w:b/>
                <w:color w:val="FFFFFF"/>
                <w:sz w:val="19"/>
              </w:rPr>
              <w:t>Representative Tables</w:t>
            </w:r>
          </w:p>
        </w:tc>
        <w:tc>
          <w:tcPr>
            <w:tcW w:type="dxa" w:w="2448"/>
            <w:shd w:val="clear" w:color="auto" w:fill="0B2E4E"/>
            <w:tcMar>
              <w:top w:w="60" w:type="dxa"/>
              <w:bottom w:w="60" w:type="dxa"/>
              <w:left w:w="100" w:type="dxa"/>
              <w:right w:w="100" w:type="dxa"/>
            </w:tcMar>
            <w:vAlign w:val="center"/>
          </w:tcPr>
          <w:p>
            <w:r/>
            <w:r>
              <w:rPr>
                <w:b/>
                <w:color w:val="FFFFFF"/>
                <w:sz w:val="19"/>
              </w:rPr>
              <w:t>Approx. Scale</w:t>
            </w:r>
          </w:p>
        </w:tc>
      </w:tr>
      <w:tr>
        <w:tc>
          <w:tcPr>
            <w:tcW w:type="dxa" w:w="2448"/>
            <w:shd w:val="clear" w:color="auto" w:fill="F2F4F6"/>
            <w:tcMar>
              <w:top w:w="60" w:type="dxa"/>
              <w:bottom w:w="60" w:type="dxa"/>
              <w:left w:w="100" w:type="dxa"/>
              <w:right w:w="100" w:type="dxa"/>
            </w:tcMar>
          </w:tcPr>
          <w:p>
            <w:pPr>
              <w:spacing w:before="0" w:after="0"/>
            </w:pPr>
            <w:r/>
            <w:r>
              <w:rPr>
                <w:color w:val="3C4752"/>
                <w:sz w:val="19"/>
              </w:rPr>
              <w:t>NSQF taxonomy (imported, read-heavy)</w:t>
            </w:r>
          </w:p>
        </w:tc>
        <w:tc>
          <w:tcPr>
            <w:tcW w:type="dxa" w:w="3744"/>
            <w:shd w:val="clear" w:color="auto" w:fill="F2F4F6"/>
            <w:tcMar>
              <w:top w:w="60" w:type="dxa"/>
              <w:bottom w:w="60" w:type="dxa"/>
              <w:left w:w="100" w:type="dxa"/>
              <w:right w:w="100" w:type="dxa"/>
            </w:tcMar>
          </w:tcPr>
          <w:p>
            <w:pPr>
              <w:spacing w:before="0" w:after="0"/>
            </w:pPr>
            <w:r/>
            <w:r>
              <w:rPr>
                <w:color w:val="3C4752"/>
                <w:sz w:val="19"/>
              </w:rPr>
              <w:t>skills, qualification_packs, occupations, sectors, awarding_bodies, qp_skills, skill_concepts</w:t>
            </w:r>
          </w:p>
        </w:tc>
        <w:tc>
          <w:tcPr>
            <w:tcW w:type="dxa" w:w="2448"/>
            <w:shd w:val="clear" w:color="auto" w:fill="F2F4F6"/>
            <w:tcMar>
              <w:top w:w="60" w:type="dxa"/>
              <w:bottom w:w="60" w:type="dxa"/>
              <w:left w:w="100" w:type="dxa"/>
              <w:right w:w="100" w:type="dxa"/>
            </w:tcMar>
          </w:tcPr>
          <w:p>
            <w:pPr>
              <w:spacing w:before="0" w:after="0"/>
            </w:pPr>
            <w:r/>
            <w:r>
              <w:rPr>
                <w:color w:val="3C4752"/>
                <w:sz w:val="19"/>
              </w:rPr>
              <w:t>21,355 skills; 4,424 qualification packs; 238,370 performance criteria</w:t>
            </w:r>
          </w:p>
        </w:tc>
      </w:tr>
      <w:tr>
        <w:tc>
          <w:tcPr>
            <w:tcW w:type="dxa" w:w="2448"/>
            <w:shd w:val="clear" w:color="auto" w:fill="FFFFFF"/>
            <w:tcMar>
              <w:top w:w="60" w:type="dxa"/>
              <w:bottom w:w="60" w:type="dxa"/>
              <w:left w:w="100" w:type="dxa"/>
              <w:right w:w="100" w:type="dxa"/>
            </w:tcMar>
          </w:tcPr>
          <w:p>
            <w:pPr>
              <w:spacing w:before="0" w:after="0"/>
            </w:pPr>
            <w:r/>
            <w:r>
              <w:rPr>
                <w:color w:val="3C4752"/>
                <w:sz w:val="19"/>
              </w:rPr>
              <w:t>Geography (imported, read-heavy)</w:t>
            </w:r>
          </w:p>
        </w:tc>
        <w:tc>
          <w:tcPr>
            <w:tcW w:type="dxa" w:w="3744"/>
            <w:shd w:val="clear" w:color="auto" w:fill="FFFFFF"/>
            <w:tcMar>
              <w:top w:w="60" w:type="dxa"/>
              <w:bottom w:w="60" w:type="dxa"/>
              <w:left w:w="100" w:type="dxa"/>
              <w:right w:w="100" w:type="dxa"/>
            </w:tcMar>
          </w:tcPr>
          <w:p>
            <w:pPr>
              <w:spacing w:before="0" w:after="0"/>
            </w:pPr>
            <w:r/>
            <w:r>
              <w:rPr>
                <w:color w:val="3C4752"/>
                <w:sz w:val="19"/>
              </w:rPr>
              <w:t>states, districts, sub_districts</w:t>
            </w:r>
          </w:p>
        </w:tc>
        <w:tc>
          <w:tcPr>
            <w:tcW w:type="dxa" w:w="2448"/>
            <w:shd w:val="clear" w:color="auto" w:fill="FFFFFF"/>
            <w:tcMar>
              <w:top w:w="60" w:type="dxa"/>
              <w:bottom w:w="60" w:type="dxa"/>
              <w:left w:w="100" w:type="dxa"/>
              <w:right w:w="100" w:type="dxa"/>
            </w:tcMar>
          </w:tcPr>
          <w:p>
            <w:pPr>
              <w:spacing w:before="0" w:after="0"/>
            </w:pPr>
            <w:r/>
            <w:r>
              <w:rPr>
                <w:color w:val="3C4752"/>
                <w:sz w:val="19"/>
              </w:rPr>
              <w:t>36 states; 766 districts; 7,100 sub-districts</w:t>
            </w:r>
          </w:p>
        </w:tc>
      </w:tr>
      <w:tr>
        <w:tc>
          <w:tcPr>
            <w:tcW w:type="dxa" w:w="2448"/>
            <w:shd w:val="clear" w:color="auto" w:fill="F2F4F6"/>
            <w:tcMar>
              <w:top w:w="60" w:type="dxa"/>
              <w:bottom w:w="60" w:type="dxa"/>
              <w:left w:w="100" w:type="dxa"/>
              <w:right w:w="100" w:type="dxa"/>
            </w:tcMar>
          </w:tcPr>
          <w:p>
            <w:pPr>
              <w:spacing w:before="0" w:after="0"/>
            </w:pPr>
            <w:r/>
            <w:r>
              <w:rPr>
                <w:color w:val="3C4752"/>
                <w:sz w:val="19"/>
              </w:rPr>
              <w:t>Identity and organisations</w:t>
            </w:r>
          </w:p>
        </w:tc>
        <w:tc>
          <w:tcPr>
            <w:tcW w:type="dxa" w:w="3744"/>
            <w:shd w:val="clear" w:color="auto" w:fill="F2F4F6"/>
            <w:tcMar>
              <w:top w:w="60" w:type="dxa"/>
              <w:bottom w:w="60" w:type="dxa"/>
              <w:left w:w="100" w:type="dxa"/>
              <w:right w:w="100" w:type="dxa"/>
            </w:tcMar>
          </w:tcPr>
          <w:p>
            <w:pPr>
              <w:spacing w:before="0" w:after="0"/>
            </w:pPr>
            <w:r/>
            <w:r>
              <w:rPr>
                <w:color w:val="3C4752"/>
                <w:sz w:val="19"/>
              </w:rPr>
              <w:t>users, tenants, memberships, invitations</w:t>
            </w:r>
          </w:p>
        </w:tc>
        <w:tc>
          <w:tcPr>
            <w:tcW w:type="dxa" w:w="2448"/>
            <w:shd w:val="clear" w:color="auto" w:fill="F2F4F6"/>
            <w:tcMar>
              <w:top w:w="60" w:type="dxa"/>
              <w:bottom w:w="60" w:type="dxa"/>
              <w:left w:w="100" w:type="dxa"/>
              <w:right w:w="100" w:type="dxa"/>
            </w:tcMar>
          </w:tcPr>
          <w:p>
            <w:pPr>
              <w:spacing w:before="0" w:after="0"/>
            </w:pPr>
            <w:r/>
            <w:r>
              <w:rPr>
                <w:color w:val="3C4752"/>
                <w:sz w:val="19"/>
              </w:rPr>
              <w:t>Scales with registered accounts</w:t>
            </w:r>
          </w:p>
        </w:tc>
      </w:tr>
      <w:tr>
        <w:tc>
          <w:tcPr>
            <w:tcW w:type="dxa" w:w="2448"/>
            <w:shd w:val="clear" w:color="auto" w:fill="FFFFFF"/>
            <w:tcMar>
              <w:top w:w="60" w:type="dxa"/>
              <w:bottom w:w="60" w:type="dxa"/>
              <w:left w:w="100" w:type="dxa"/>
              <w:right w:w="100" w:type="dxa"/>
            </w:tcMar>
          </w:tcPr>
          <w:p>
            <w:pPr>
              <w:spacing w:before="0" w:after="0"/>
            </w:pPr>
            <w:r/>
            <w:r>
              <w:rPr>
                <w:color w:val="3C4752"/>
                <w:sz w:val="19"/>
              </w:rPr>
              <w:t>Marketplace records</w:t>
            </w:r>
          </w:p>
        </w:tc>
        <w:tc>
          <w:tcPr>
            <w:tcW w:type="dxa" w:w="3744"/>
            <w:shd w:val="clear" w:color="auto" w:fill="FFFFFF"/>
            <w:tcMar>
              <w:top w:w="60" w:type="dxa"/>
              <w:bottom w:w="60" w:type="dxa"/>
              <w:left w:w="100" w:type="dxa"/>
              <w:right w:w="100" w:type="dxa"/>
            </w:tcMar>
          </w:tcPr>
          <w:p>
            <w:pPr>
              <w:spacing w:before="0" w:after="0"/>
            </w:pPr>
            <w:r/>
            <w:r>
              <w:rPr>
                <w:color w:val="3C4752"/>
                <w:sz w:val="19"/>
              </w:rPr>
              <w:t>jobs, courses, job_skills, course_skills, candidate_profiles, candidate_skills</w:t>
            </w:r>
          </w:p>
        </w:tc>
        <w:tc>
          <w:tcPr>
            <w:tcW w:type="dxa" w:w="2448"/>
            <w:shd w:val="clear" w:color="auto" w:fill="FFFFFF"/>
            <w:tcMar>
              <w:top w:w="60" w:type="dxa"/>
              <w:bottom w:w="60" w:type="dxa"/>
              <w:left w:w="100" w:type="dxa"/>
              <w:right w:w="100" w:type="dxa"/>
            </w:tcMar>
          </w:tcPr>
          <w:p>
            <w:pPr>
              <w:spacing w:before="0" w:after="0"/>
            </w:pPr>
            <w:r/>
            <w:r>
              <w:rPr>
                <w:color w:val="3C4752"/>
                <w:sz w:val="19"/>
              </w:rPr>
              <w:t>Scales with published inventory and candidate activity</w:t>
            </w:r>
          </w:p>
        </w:tc>
      </w:tr>
      <w:tr>
        <w:tc>
          <w:tcPr>
            <w:tcW w:type="dxa" w:w="2448"/>
            <w:shd w:val="clear" w:color="auto" w:fill="F2F4F6"/>
            <w:tcMar>
              <w:top w:w="60" w:type="dxa"/>
              <w:bottom w:w="60" w:type="dxa"/>
              <w:left w:w="100" w:type="dxa"/>
              <w:right w:w="100" w:type="dxa"/>
            </w:tcMar>
          </w:tcPr>
          <w:p>
            <w:pPr>
              <w:spacing w:before="0" w:after="0"/>
            </w:pPr>
            <w:r/>
            <w:r>
              <w:rPr>
                <w:color w:val="3C4752"/>
                <w:sz w:val="19"/>
              </w:rPr>
              <w:t>Transactions and disclosure</w:t>
            </w:r>
          </w:p>
        </w:tc>
        <w:tc>
          <w:tcPr>
            <w:tcW w:type="dxa" w:w="3744"/>
            <w:shd w:val="clear" w:color="auto" w:fill="F2F4F6"/>
            <w:tcMar>
              <w:top w:w="60" w:type="dxa"/>
              <w:bottom w:w="60" w:type="dxa"/>
              <w:left w:w="100" w:type="dxa"/>
              <w:right w:w="100" w:type="dxa"/>
            </w:tcMar>
          </w:tcPr>
          <w:p>
            <w:pPr>
              <w:spacing w:before="0" w:after="0"/>
            </w:pPr>
            <w:r/>
            <w:r>
              <w:rPr>
                <w:color w:val="3C4752"/>
                <w:sz w:val="19"/>
              </w:rPr>
              <w:t>applications, course_interests, saved_jobs, job_alerts</w:t>
            </w:r>
          </w:p>
        </w:tc>
        <w:tc>
          <w:tcPr>
            <w:tcW w:type="dxa" w:w="2448"/>
            <w:shd w:val="clear" w:color="auto" w:fill="F2F4F6"/>
            <w:tcMar>
              <w:top w:w="60" w:type="dxa"/>
              <w:bottom w:w="60" w:type="dxa"/>
              <w:left w:w="100" w:type="dxa"/>
              <w:right w:w="100" w:type="dxa"/>
            </w:tcMar>
          </w:tcPr>
          <w:p>
            <w:pPr>
              <w:spacing w:before="0" w:after="0"/>
            </w:pPr>
            <w:r/>
            <w:r>
              <w:rPr>
                <w:color w:val="3C4752"/>
                <w:sz w:val="19"/>
              </w:rPr>
              <w:t>Scales with platform usage</w:t>
            </w:r>
          </w:p>
        </w:tc>
      </w:tr>
      <w:tr>
        <w:tc>
          <w:tcPr>
            <w:tcW w:type="dxa" w:w="2448"/>
            <w:shd w:val="clear" w:color="auto" w:fill="FFFFFF"/>
            <w:tcMar>
              <w:top w:w="60" w:type="dxa"/>
              <w:bottom w:w="60" w:type="dxa"/>
              <w:left w:w="100" w:type="dxa"/>
              <w:right w:w="100" w:type="dxa"/>
            </w:tcMar>
          </w:tcPr>
          <w:p>
            <w:pPr>
              <w:spacing w:before="0" w:after="0"/>
            </w:pPr>
            <w:r/>
            <w:r>
              <w:rPr>
                <w:color w:val="3C4752"/>
                <w:sz w:val="19"/>
              </w:rPr>
              <w:t>Trust and measurement</w:t>
            </w:r>
          </w:p>
        </w:tc>
        <w:tc>
          <w:tcPr>
            <w:tcW w:type="dxa" w:w="3744"/>
            <w:shd w:val="clear" w:color="auto" w:fill="FFFFFF"/>
            <w:tcMar>
              <w:top w:w="60" w:type="dxa"/>
              <w:bottom w:w="60" w:type="dxa"/>
              <w:left w:w="100" w:type="dxa"/>
              <w:right w:w="100" w:type="dxa"/>
            </w:tcMar>
          </w:tcPr>
          <w:p>
            <w:pPr>
              <w:spacing w:before="0" w:after="0"/>
            </w:pPr>
            <w:r/>
            <w:r>
              <w:rPr>
                <w:color w:val="3C4752"/>
                <w:sz w:val="19"/>
              </w:rPr>
              <w:t>tenant_verification_events, analytics_events, notifications</w:t>
            </w:r>
          </w:p>
        </w:tc>
        <w:tc>
          <w:tcPr>
            <w:tcW w:type="dxa" w:w="2448"/>
            <w:shd w:val="clear" w:color="auto" w:fill="FFFFFF"/>
            <w:tcMar>
              <w:top w:w="60" w:type="dxa"/>
              <w:bottom w:w="60" w:type="dxa"/>
              <w:left w:w="100" w:type="dxa"/>
              <w:right w:w="100" w:type="dxa"/>
            </w:tcMar>
          </w:tcPr>
          <w:p>
            <w:pPr>
              <w:spacing w:before="0" w:after="0"/>
            </w:pPr>
            <w:r/>
            <w:r>
              <w:rPr>
                <w:color w:val="3C4752"/>
                <w:sz w:val="19"/>
              </w:rPr>
              <w:t>Append-only event logs; analytics_events is periodically purged past its retention window</w:t>
            </w:r>
          </w:p>
        </w:tc>
      </w:tr>
      <w:tr>
        <w:tc>
          <w:tcPr>
            <w:tcW w:type="dxa" w:w="2448"/>
            <w:shd w:val="clear" w:color="auto" w:fill="F2F4F6"/>
            <w:tcMar>
              <w:top w:w="60" w:type="dxa"/>
              <w:bottom w:w="60" w:type="dxa"/>
              <w:left w:w="100" w:type="dxa"/>
              <w:right w:w="100" w:type="dxa"/>
            </w:tcMar>
          </w:tcPr>
          <w:p>
            <w:pPr>
              <w:spacing w:before="0" w:after="0"/>
            </w:pPr>
            <w:r/>
            <w:r>
              <w:rPr>
                <w:color w:val="3C4752"/>
                <w:sz w:val="19"/>
              </w:rPr>
              <w:t>Localisation</w:t>
            </w:r>
          </w:p>
        </w:tc>
        <w:tc>
          <w:tcPr>
            <w:tcW w:type="dxa" w:w="3744"/>
            <w:shd w:val="clear" w:color="auto" w:fill="F2F4F6"/>
            <w:tcMar>
              <w:top w:w="60" w:type="dxa"/>
              <w:bottom w:w="60" w:type="dxa"/>
              <w:left w:w="100" w:type="dxa"/>
              <w:right w:w="100" w:type="dxa"/>
            </w:tcMar>
          </w:tcPr>
          <w:p>
            <w:pPr>
              <w:spacing w:before="0" w:after="0"/>
            </w:pPr>
            <w:r/>
            <w:r>
              <w:rPr>
                <w:color w:val="3C4752"/>
                <w:sz w:val="19"/>
              </w:rPr>
              <w:t>content_translations</w:t>
            </w:r>
          </w:p>
        </w:tc>
        <w:tc>
          <w:tcPr>
            <w:tcW w:type="dxa" w:w="2448"/>
            <w:shd w:val="clear" w:color="auto" w:fill="F2F4F6"/>
            <w:tcMar>
              <w:top w:w="60" w:type="dxa"/>
              <w:bottom w:w="60" w:type="dxa"/>
              <w:left w:w="100" w:type="dxa"/>
              <w:right w:w="100" w:type="dxa"/>
            </w:tcMar>
          </w:tcPr>
          <w:p>
            <w:pPr>
              <w:spacing w:before="0" w:after="0"/>
            </w:pPr>
            <w:r/>
            <w:r>
              <w:rPr>
                <w:color w:val="3C4752"/>
                <w:sz w:val="19"/>
              </w:rPr>
              <w:t>One row per translated field per locale; empty until something is actually translated (ADR-041)</w:t>
            </w:r>
          </w:p>
        </w:tc>
      </w:tr>
    </w:tbl>
    <w:p>
      <w:pPr>
        <w:spacing w:after="80"/>
      </w:pPr>
    </w:p>
    <w:p>
      <w:pPr>
        <w:pStyle w:val="Heading2"/>
      </w:pPr>
      <w:r>
        <w:t>4.2  pgvector — Enabled, Not Yet Used</w:t>
      </w:r>
    </w:p>
    <w:p>
      <w:r>
        <w:rPr>
          <w:b w:val="0"/>
          <w:i w:val="0"/>
        </w:rPr>
        <w:t>The pgvector extension is installed and confirmed live by the platform’s own health check, but no table carries an embedding column today. This is a deliberate, structural placeholder: ADR-013 and ADR-031 already fix the implementation (self-hosted sentence-transformers, 384 dimensions) and ADR-036 defers turning it on until deterministic matching has a measured baseline to improve against. See Section 9.2.</w:t>
      </w:r>
    </w:p>
    <w:p>
      <w:pPr>
        <w:pStyle w:val="Heading2"/>
      </w:pPr>
      <w:r>
        <w:t>4.3  MongoDB — Source of Record for the National Skills Feed</w:t>
      </w:r>
    </w:p>
    <w:p>
      <w:r>
        <w:rPr>
          <w:b w:val="0"/>
          <w:i w:val="0"/>
        </w:rPr>
        <w:t>MongoDB holds the raw, versioned national skills-data feed exactly as published, and nothing else. It is never read at request time — only the offline import process opens a connection to it (ADR-034).</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880"/>
            <w:shd w:val="clear" w:color="auto" w:fill="0B2E4E"/>
            <w:tcMar>
              <w:top w:w="60" w:type="dxa"/>
              <w:bottom w:w="60" w:type="dxa"/>
              <w:left w:w="100" w:type="dxa"/>
              <w:right w:w="100" w:type="dxa"/>
            </w:tcMar>
            <w:vAlign w:val="center"/>
          </w:tcPr>
          <w:p>
            <w:r/>
            <w:r>
              <w:rPr>
                <w:b/>
                <w:color w:val="FFFFFF"/>
                <w:sz w:val="19"/>
              </w:rPr>
              <w:t>Collection</w:t>
            </w:r>
          </w:p>
        </w:tc>
        <w:tc>
          <w:tcPr>
            <w:tcW w:type="dxa" w:w="3888"/>
            <w:shd w:val="clear" w:color="auto" w:fill="0B2E4E"/>
            <w:tcMar>
              <w:top w:w="60" w:type="dxa"/>
              <w:bottom w:w="60" w:type="dxa"/>
              <w:left w:w="100" w:type="dxa"/>
              <w:right w:w="100" w:type="dxa"/>
            </w:tcMar>
            <w:vAlign w:val="center"/>
          </w:tcPr>
          <w:p>
            <w:r/>
            <w:r>
              <w:rPr>
                <w:b/>
                <w:color w:val="FFFFFF"/>
                <w:sz w:val="19"/>
              </w:rPr>
              <w:t>Holds</w:t>
            </w:r>
          </w:p>
        </w:tc>
        <w:tc>
          <w:tcPr>
            <w:tcW w:type="dxa" w:w="1872"/>
            <w:shd w:val="clear" w:color="auto" w:fill="0B2E4E"/>
            <w:tcMar>
              <w:top w:w="60" w:type="dxa"/>
              <w:bottom w:w="60" w:type="dxa"/>
              <w:left w:w="100" w:type="dxa"/>
              <w:right w:w="100" w:type="dxa"/>
            </w:tcMar>
            <w:vAlign w:val="center"/>
          </w:tcPr>
          <w:p>
            <w:r/>
            <w:r>
              <w:rPr>
                <w:b/>
                <w:color w:val="FFFFFF"/>
                <w:sz w:val="19"/>
              </w:rPr>
              <w:t>Imported?</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qualifications, standards, curricula, sectors, states, districts</w:t>
            </w:r>
          </w:p>
        </w:tc>
        <w:tc>
          <w:tcPr>
            <w:tcW w:type="dxa" w:w="3888"/>
            <w:shd w:val="clear" w:color="auto" w:fill="F2F4F6"/>
            <w:tcMar>
              <w:top w:w="60" w:type="dxa"/>
              <w:bottom w:w="60" w:type="dxa"/>
              <w:left w:w="100" w:type="dxa"/>
              <w:right w:w="100" w:type="dxa"/>
            </w:tcMar>
          </w:tcPr>
          <w:p>
            <w:pPr>
              <w:spacing w:before="0" w:after="0"/>
            </w:pPr>
            <w:r/>
            <w:r>
              <w:rPr>
                <w:color w:val="3C4752"/>
                <w:sz w:val="19"/>
              </w:rPr>
              <w:t>The national skills framework’s own published documents</w:t>
            </w:r>
          </w:p>
        </w:tc>
        <w:tc>
          <w:tcPr>
            <w:tcW w:type="dxa" w:w="1872"/>
            <w:shd w:val="clear" w:color="auto" w:fill="F2F4F6"/>
            <w:tcMar>
              <w:top w:w="60" w:type="dxa"/>
              <w:bottom w:w="60" w:type="dxa"/>
              <w:left w:w="100" w:type="dxa"/>
              <w:right w:w="100" w:type="dxa"/>
            </w:tcMar>
          </w:tcPr>
          <w:p>
            <w:pPr>
              <w:spacing w:before="0" w:after="0"/>
            </w:pPr>
            <w:r/>
            <w:r>
              <w:rPr>
                <w:color w:val="3C4752"/>
                <w:sz w:val="19"/>
              </w:rPr>
              <w:t>Yes — projected into PostgreSQL by api/adapters/nsqf/importer.py</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ssc</w:t>
            </w:r>
          </w:p>
        </w:tc>
        <w:tc>
          <w:tcPr>
            <w:tcW w:type="dxa" w:w="3888"/>
            <w:shd w:val="clear" w:color="auto" w:fill="FFFFFF"/>
            <w:tcMar>
              <w:top w:w="60" w:type="dxa"/>
              <w:bottom w:w="60" w:type="dxa"/>
              <w:left w:w="100" w:type="dxa"/>
              <w:right w:w="100" w:type="dxa"/>
            </w:tcMar>
          </w:tcPr>
          <w:p>
            <w:pPr>
              <w:spacing w:before="0" w:after="0"/>
            </w:pPr>
            <w:r/>
            <w:r>
              <w:rPr>
                <w:color w:val="3C4752"/>
                <w:sz w:val="19"/>
              </w:rPr>
              <w:t>A portal account registry — personal names, emails, phone numbers and bank details with no product use</w:t>
            </w:r>
          </w:p>
        </w:tc>
        <w:tc>
          <w:tcPr>
            <w:tcW w:type="dxa" w:w="1872"/>
            <w:shd w:val="clear" w:color="auto" w:fill="FFFFFF"/>
            <w:tcMar>
              <w:top w:w="60" w:type="dxa"/>
              <w:bottom w:w="60" w:type="dxa"/>
              <w:left w:w="100" w:type="dxa"/>
              <w:right w:w="100" w:type="dxa"/>
            </w:tcMar>
          </w:tcPr>
          <w:p>
            <w:pPr>
              <w:spacing w:before="0" w:after="0"/>
            </w:pPr>
            <w:r/>
            <w:r>
              <w:rPr>
                <w:color w:val="3C4752"/>
                <w:sz w:val="19"/>
              </w:rPr>
              <w:t>No, deliberately (ADR-035). No module under api/ may read it.</w:t>
            </w:r>
          </w:p>
        </w:tc>
      </w:tr>
    </w:tbl>
    <w:p>
      <w:pPr>
        <w:spacing w:after="80"/>
      </w:pPr>
    </w:p>
    <w:p>
      <w:pPr>
        <w:pStyle w:val="Heading2"/>
      </w:pPr>
      <w:r>
        <w:t>4.4  Redis — Four Distinct Uses Behind One Connection</w:t>
      </w:r>
    </w:p>
    <w:tbl>
      <w:tblPr>
        <w:tblStyle w:val="TableGrid"/>
        <w:tblW w:type="auto" w:w="0"/>
        <w:jc w:val="center"/>
        <w:tblLayout w:type="autofit"/>
        <w:tblLook w:firstColumn="1" w:firstRow="1" w:lastColumn="0" w:lastRow="0" w:noHBand="0" w:noVBand="1" w:val="04A0"/>
      </w:tblPr>
      <w:tblGrid>
        <w:gridCol w:w="4706"/>
        <w:gridCol w:w="4706"/>
      </w:tblGrid>
      <w:tr>
        <w:tc>
          <w:tcPr>
            <w:tcW w:type="dxa" w:w="2304"/>
            <w:shd w:val="clear" w:color="auto" w:fill="0B2E4E"/>
            <w:tcMar>
              <w:top w:w="60" w:type="dxa"/>
              <w:bottom w:w="60" w:type="dxa"/>
              <w:left w:w="100" w:type="dxa"/>
              <w:right w:w="100" w:type="dxa"/>
            </w:tcMar>
            <w:vAlign w:val="center"/>
          </w:tcPr>
          <w:p>
            <w:r/>
            <w:r>
              <w:rPr>
                <w:b/>
                <w:color w:val="FFFFFF"/>
                <w:sz w:val="19"/>
              </w:rPr>
              <w:t>Use</w:t>
            </w:r>
          </w:p>
        </w:tc>
        <w:tc>
          <w:tcPr>
            <w:tcW w:type="dxa" w:w="6336"/>
            <w:shd w:val="clear" w:color="auto" w:fill="0B2E4E"/>
            <w:tcMar>
              <w:top w:w="60" w:type="dxa"/>
              <w:bottom w:w="60" w:type="dxa"/>
              <w:left w:w="100" w:type="dxa"/>
              <w:right w:w="100" w:type="dxa"/>
            </w:tcMar>
            <w:vAlign w:val="center"/>
          </w:tcPr>
          <w:p>
            <w:r/>
            <w:r>
              <w:rPr>
                <w:b/>
                <w:color w:val="FFFFFF"/>
                <w:sz w:val="19"/>
              </w:rPr>
              <w:t>What Lives There</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ARQ task queue</w:t>
            </w:r>
          </w:p>
        </w:tc>
        <w:tc>
          <w:tcPr>
            <w:tcW w:type="dxa" w:w="6336"/>
            <w:shd w:val="clear" w:color="auto" w:fill="F2F4F6"/>
            <w:tcMar>
              <w:top w:w="60" w:type="dxa"/>
              <w:bottom w:w="60" w:type="dxa"/>
              <w:left w:w="100" w:type="dxa"/>
              <w:right w:w="100" w:type="dxa"/>
            </w:tcMar>
          </w:tcPr>
          <w:p>
            <w:pPr>
              <w:spacing w:before="0" w:after="0"/>
            </w:pPr>
            <w:r/>
            <w:r>
              <w:rPr>
                <w:color w:val="3C4752"/>
                <w:sz w:val="19"/>
              </w:rPr>
              <w:t>Jobs the worker process picks up: notification delivery, job alerts, expiry sweeps, analytics purging.</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Cache</w:t>
            </w:r>
          </w:p>
        </w:tc>
        <w:tc>
          <w:tcPr>
            <w:tcW w:type="dxa" w:w="6336"/>
            <w:shd w:val="clear" w:color="auto" w:fill="FFFFFF"/>
            <w:tcMar>
              <w:top w:w="60" w:type="dxa"/>
              <w:bottom w:w="60" w:type="dxa"/>
              <w:left w:w="100" w:type="dxa"/>
              <w:right w:w="100" w:type="dxa"/>
            </w:tcMar>
          </w:tcPr>
          <w:p>
            <w:pPr>
              <w:spacing w:before="0" w:after="0"/>
            </w:pPr>
            <w:r/>
            <w:r>
              <w:rPr>
                <w:color w:val="3C4752"/>
                <w:sz w:val="19"/>
              </w:rPr>
              <w:t>Short-lived read caching for expensive lookups.</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Rate limiting</w:t>
            </w:r>
          </w:p>
        </w:tc>
        <w:tc>
          <w:tcPr>
            <w:tcW w:type="dxa" w:w="6336"/>
            <w:shd w:val="clear" w:color="auto" w:fill="F2F4F6"/>
            <w:tcMar>
              <w:top w:w="60" w:type="dxa"/>
              <w:bottom w:w="60" w:type="dxa"/>
              <w:left w:w="100" w:type="dxa"/>
              <w:right w:w="100" w:type="dxa"/>
            </w:tcMar>
          </w:tcPr>
          <w:p>
            <w:pPr>
              <w:spacing w:before="0" w:after="0"/>
            </w:pPr>
            <w:r/>
            <w:r>
              <w:rPr>
                <w:color w:val="3C4752"/>
                <w:sz w:val="19"/>
              </w:rPr>
              <w:t>Per-account and per-IP request counters for sign-in, application and organisation-creation limits.</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One-time passcode store</w:t>
            </w:r>
          </w:p>
        </w:tc>
        <w:tc>
          <w:tcPr>
            <w:tcW w:type="dxa" w:w="6336"/>
            <w:shd w:val="clear" w:color="auto" w:fill="FFFFFF"/>
            <w:tcMar>
              <w:top w:w="60" w:type="dxa"/>
              <w:bottom w:w="60" w:type="dxa"/>
              <w:left w:w="100" w:type="dxa"/>
              <w:right w:w="100" w:type="dxa"/>
            </w:tcMar>
          </w:tcPr>
          <w:p>
            <w:pPr>
              <w:spacing w:before="0" w:after="0"/>
            </w:pPr>
            <w:r/>
            <w:r>
              <w:rPr>
                <w:color w:val="3C4752"/>
                <w:sz w:val="19"/>
              </w:rPr>
              <w:t>OTP codes, hashed, with attempt counters — never the plaintext code at rest.</w:t>
            </w:r>
          </w:p>
        </w:tc>
      </w:tr>
    </w:tbl>
    <w:p>
      <w:pPr>
        <w:spacing w:after="80"/>
      </w:pPr>
    </w:p>
    <w:p>
      <w:r>
        <w:br w:type="page"/>
      </w:r>
    </w:p>
    <w:p>
      <w:pPr>
        <w:pStyle w:val="Heading1"/>
      </w:pPr>
      <w:r>
        <w:rPr>
          <w:color w:val="0F6E84"/>
        </w:rPr>
        <w:t xml:space="preserve">5  </w:t>
      </w:r>
      <w:r>
        <w:t>External APIs and Integrations</w:t>
      </w:r>
    </w:p>
    <w:p>
      <w:r>
        <w:rPr>
          <w:b w:val="0"/>
          <w:i w:val="0"/>
        </w:rPr>
        <w:t>Every external system, built or implied, sits behind an adapter interface under api/adapters/ (ADR-017) — no module ever calls a third-party SDK directly. This is what makes the “not built” rows below additions rather than refactors: the seam already exists in the architecture, only the implementation behind it is missing.</w:t>
      </w:r>
    </w:p>
    <w:p>
      <w:pPr>
        <w:pStyle w:val="Heading2"/>
      </w:pPr>
      <w:r>
        <w:t>5.1  Built and Live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880"/>
            <w:shd w:val="clear" w:color="auto" w:fill="0B2E4E"/>
            <w:tcMar>
              <w:top w:w="60" w:type="dxa"/>
              <w:bottom w:w="60" w:type="dxa"/>
              <w:left w:w="100" w:type="dxa"/>
              <w:right w:w="100" w:type="dxa"/>
            </w:tcMar>
            <w:vAlign w:val="center"/>
          </w:tcPr>
          <w:p>
            <w:r/>
            <w:r>
              <w:rPr>
                <w:b/>
                <w:color w:val="FFFFFF"/>
                <w:sz w:val="19"/>
              </w:rPr>
              <w:t>Integration</w:t>
            </w:r>
          </w:p>
        </w:tc>
        <w:tc>
          <w:tcPr>
            <w:tcW w:type="dxa" w:w="2880"/>
            <w:shd w:val="clear" w:color="auto" w:fill="0B2E4E"/>
            <w:tcMar>
              <w:top w:w="60" w:type="dxa"/>
              <w:bottom w:w="60" w:type="dxa"/>
              <w:left w:w="100" w:type="dxa"/>
              <w:right w:w="100" w:type="dxa"/>
            </w:tcMar>
            <w:vAlign w:val="center"/>
          </w:tcPr>
          <w:p>
            <w:r/>
            <w:r>
              <w:rPr>
                <w:b/>
                <w:color w:val="FFFFFF"/>
                <w:sz w:val="19"/>
              </w:rPr>
              <w:t>Adapter</w:t>
            </w:r>
          </w:p>
        </w:tc>
        <w:tc>
          <w:tcPr>
            <w:tcW w:type="dxa" w:w="2880"/>
            <w:shd w:val="clear" w:color="auto" w:fill="0B2E4E"/>
            <w:tcMar>
              <w:top w:w="60" w:type="dxa"/>
              <w:bottom w:w="60" w:type="dxa"/>
              <w:left w:w="100" w:type="dxa"/>
              <w:right w:w="100" w:type="dxa"/>
            </w:tcMar>
            <w:vAlign w:val="center"/>
          </w:tcPr>
          <w:p>
            <w:r/>
            <w:r>
              <w:rPr>
                <w:b/>
                <w:color w:val="FFFFFF"/>
                <w:sz w:val="19"/>
              </w:rPr>
              <w:t>Current Implementation</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SMS delivery (candidate OTP)</w:t>
            </w:r>
          </w:p>
        </w:tc>
        <w:tc>
          <w:tcPr>
            <w:tcW w:type="dxa" w:w="2880"/>
            <w:shd w:val="clear" w:color="auto" w:fill="F2F4F6"/>
            <w:tcMar>
              <w:top w:w="60" w:type="dxa"/>
              <w:bottom w:w="60" w:type="dxa"/>
              <w:left w:w="100" w:type="dxa"/>
              <w:right w:w="100" w:type="dxa"/>
            </w:tcMar>
          </w:tcPr>
          <w:p>
            <w:pPr>
              <w:spacing w:before="0" w:after="0"/>
            </w:pPr>
            <w:r/>
            <w:r>
              <w:rPr>
                <w:color w:val="3C4752"/>
                <w:sz w:val="19"/>
              </w:rPr>
              <w:t>NotificationProvider (api/adapters/notifications/)</w:t>
            </w:r>
          </w:p>
        </w:tc>
        <w:tc>
          <w:tcPr>
            <w:tcW w:type="dxa" w:w="2880"/>
            <w:shd w:val="clear" w:color="auto" w:fill="F2F4F6"/>
            <w:tcMar>
              <w:top w:w="60" w:type="dxa"/>
              <w:bottom w:w="60" w:type="dxa"/>
              <w:left w:w="100" w:type="dxa"/>
              <w:right w:w="100" w:type="dxa"/>
            </w:tcMar>
          </w:tcPr>
          <w:p>
            <w:pPr>
              <w:spacing w:before="0" w:after="0"/>
            </w:pPr>
            <w:r/>
            <w:r>
              <w:rPr>
                <w:color w:val="3C4752"/>
                <w:sz w:val="19"/>
              </w:rPr>
              <w:t>Console implementation only — prints to the log in development, refuses to start in production. No production SMS vendor is wired in.</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Email delivery (org OTP, notifications)</w:t>
            </w:r>
          </w:p>
        </w:tc>
        <w:tc>
          <w:tcPr>
            <w:tcW w:type="dxa" w:w="2880"/>
            <w:shd w:val="clear" w:color="auto" w:fill="FFFFFF"/>
            <w:tcMar>
              <w:top w:w="60" w:type="dxa"/>
              <w:bottom w:w="60" w:type="dxa"/>
              <w:left w:w="100" w:type="dxa"/>
              <w:right w:w="100" w:type="dxa"/>
            </w:tcMar>
          </w:tcPr>
          <w:p>
            <w:pPr>
              <w:spacing w:before="0" w:after="0"/>
            </w:pPr>
            <w:r/>
            <w:r>
              <w:rPr>
                <w:color w:val="3C4752"/>
                <w:sz w:val="19"/>
              </w:rPr>
              <w:t>EmailProvider (api/adapters/notifications/)</w:t>
            </w:r>
          </w:p>
        </w:tc>
        <w:tc>
          <w:tcPr>
            <w:tcW w:type="dxa" w:w="2880"/>
            <w:shd w:val="clear" w:color="auto" w:fill="FFFFFF"/>
            <w:tcMar>
              <w:top w:w="60" w:type="dxa"/>
              <w:bottom w:w="60" w:type="dxa"/>
              <w:left w:w="100" w:type="dxa"/>
              <w:right w:w="100" w:type="dxa"/>
            </w:tcMar>
          </w:tcPr>
          <w:p>
            <w:pPr>
              <w:spacing w:before="0" w:after="0"/>
            </w:pPr>
            <w:r/>
            <w:r>
              <w:rPr>
                <w:color w:val="3C4752"/>
                <w:sz w:val="19"/>
              </w:rPr>
              <w:t>Same pattern — console-only, refuses in production.</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National skills-data feed</w:t>
            </w:r>
          </w:p>
        </w:tc>
        <w:tc>
          <w:tcPr>
            <w:tcW w:type="dxa" w:w="2880"/>
            <w:shd w:val="clear" w:color="auto" w:fill="F2F4F6"/>
            <w:tcMar>
              <w:top w:w="60" w:type="dxa"/>
              <w:bottom w:w="60" w:type="dxa"/>
              <w:left w:w="100" w:type="dxa"/>
              <w:right w:w="100" w:type="dxa"/>
            </w:tcMar>
          </w:tcPr>
          <w:p>
            <w:pPr>
              <w:spacing w:before="0" w:after="0"/>
            </w:pPr>
            <w:r/>
            <w:r>
              <w:rPr>
                <w:color w:val="3C4752"/>
                <w:sz w:val="19"/>
              </w:rPr>
              <w:t>NsqfSource (api/adapters/nsqf/)</w:t>
            </w:r>
          </w:p>
        </w:tc>
        <w:tc>
          <w:tcPr>
            <w:tcW w:type="dxa" w:w="2880"/>
            <w:shd w:val="clear" w:color="auto" w:fill="F2F4F6"/>
            <w:tcMar>
              <w:top w:w="60" w:type="dxa"/>
              <w:bottom w:w="60" w:type="dxa"/>
              <w:left w:w="100" w:type="dxa"/>
              <w:right w:w="100" w:type="dxa"/>
            </w:tcMar>
          </w:tcPr>
          <w:p>
            <w:pPr>
              <w:spacing w:before="0" w:after="0"/>
            </w:pPr>
            <w:r/>
            <w:r>
              <w:rPr>
                <w:color w:val="3C4752"/>
                <w:sz w:val="19"/>
              </w:rPr>
              <w:t>Two implementations: a live MongoDB reader and a JSON-file reader used by the test suite. Offline, import-time only — never called from a request.</w:t>
            </w:r>
          </w:p>
        </w:tc>
      </w:tr>
    </w:tbl>
    <w:p>
      <w:pPr>
        <w:spacing w:after="80"/>
      </w:pPr>
    </w:p>
    <w:p>
      <w:pPr>
        <w:pStyle w:val="Heading2"/>
      </w:pPr>
      <w:r>
        <w:t>5.2  Referenced or Implied, Not Yet Implemented</w:t>
      </w:r>
    </w:p>
    <w:p>
      <w:r>
        <w:rPr>
          <w:b w:val="0"/>
          <w:i w:val="0"/>
        </w:rPr>
        <w:t>Named in the Architecture Decision Record, with the adapter contract already specified, but with no implementation behind the interface.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304"/>
            <w:shd w:val="clear" w:color="auto" w:fill="0B2E4E"/>
            <w:tcMar>
              <w:top w:w="60" w:type="dxa"/>
              <w:bottom w:w="60" w:type="dxa"/>
              <w:left w:w="100" w:type="dxa"/>
              <w:right w:w="100" w:type="dxa"/>
            </w:tcMar>
            <w:vAlign w:val="center"/>
          </w:tcPr>
          <w:p>
            <w:r/>
            <w:r>
              <w:rPr>
                <w:b/>
                <w:color w:val="FFFFFF"/>
                <w:sz w:val="19"/>
              </w:rPr>
              <w:t>Integration</w:t>
            </w:r>
          </w:p>
        </w:tc>
        <w:tc>
          <w:tcPr>
            <w:tcW w:type="dxa" w:w="2592"/>
            <w:shd w:val="clear" w:color="auto" w:fill="0B2E4E"/>
            <w:tcMar>
              <w:top w:w="60" w:type="dxa"/>
              <w:bottom w:w="60" w:type="dxa"/>
              <w:left w:w="100" w:type="dxa"/>
              <w:right w:w="100" w:type="dxa"/>
            </w:tcMar>
            <w:vAlign w:val="center"/>
          </w:tcPr>
          <w:p>
            <w:r/>
            <w:r>
              <w:rPr>
                <w:b/>
                <w:color w:val="FFFFFF"/>
                <w:sz w:val="19"/>
              </w:rPr>
              <w:t>Named In</w:t>
            </w:r>
          </w:p>
        </w:tc>
        <w:tc>
          <w:tcPr>
            <w:tcW w:type="dxa" w:w="3744"/>
            <w:shd w:val="clear" w:color="auto" w:fill="0B2E4E"/>
            <w:tcMar>
              <w:top w:w="60" w:type="dxa"/>
              <w:bottom w:w="60" w:type="dxa"/>
              <w:left w:w="100" w:type="dxa"/>
              <w:right w:w="100" w:type="dxa"/>
            </w:tcMar>
            <w:vAlign w:val="center"/>
          </w:tcPr>
          <w:p>
            <w:r/>
            <w:r>
              <w:rPr>
                <w:b/>
                <w:color w:val="FFFFFF"/>
                <w:sz w:val="19"/>
              </w:rPr>
              <w:t>What It Would Do</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Payment provider</w:t>
            </w:r>
          </w:p>
        </w:tc>
        <w:tc>
          <w:tcPr>
            <w:tcW w:type="dxa" w:w="2592"/>
            <w:shd w:val="clear" w:color="auto" w:fill="F2F4F6"/>
            <w:tcMar>
              <w:top w:w="60" w:type="dxa"/>
              <w:bottom w:w="60" w:type="dxa"/>
              <w:left w:w="100" w:type="dxa"/>
              <w:right w:w="100" w:type="dxa"/>
            </w:tcMar>
          </w:tcPr>
          <w:p>
            <w:pPr>
              <w:spacing w:before="0" w:after="0"/>
            </w:pPr>
            <w:r/>
            <w:r>
              <w:rPr>
                <w:color w:val="3C4752"/>
                <w:sz w:val="19"/>
              </w:rPr>
              <w:t>ADR-025</w:t>
            </w:r>
          </w:p>
        </w:tc>
        <w:tc>
          <w:tcPr>
            <w:tcW w:type="dxa" w:w="3744"/>
            <w:shd w:val="clear" w:color="auto" w:fill="F2F4F6"/>
            <w:tcMar>
              <w:top w:w="60" w:type="dxa"/>
              <w:bottom w:w="60" w:type="dxa"/>
              <w:left w:w="100" w:type="dxa"/>
              <w:right w:w="100" w:type="dxa"/>
            </w:tcMar>
          </w:tcPr>
          <w:p>
            <w:pPr>
              <w:spacing w:before="0" w:after="0"/>
            </w:pPr>
            <w:r/>
            <w:r>
              <w:rPr>
                <w:color w:val="3C4752"/>
                <w:sz w:val="19"/>
              </w:rPr>
              <w:t>Process payment for a paid course or a future subscription. The adapter interface point is named; there is no order, entitlement, invoice or payout model in the schema at all.</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Assessment provider</w:t>
            </w:r>
          </w:p>
        </w:tc>
        <w:tc>
          <w:tcPr>
            <w:tcW w:type="dxa" w:w="2592"/>
            <w:shd w:val="clear" w:color="auto" w:fill="FFFFFF"/>
            <w:tcMar>
              <w:top w:w="60" w:type="dxa"/>
              <w:bottom w:w="60" w:type="dxa"/>
              <w:left w:w="100" w:type="dxa"/>
              <w:right w:w="100" w:type="dxa"/>
            </w:tcMar>
          </w:tcPr>
          <w:p>
            <w:pPr>
              <w:spacing w:before="0" w:after="0"/>
            </w:pPr>
            <w:r/>
            <w:r>
              <w:rPr>
                <w:color w:val="3C4752"/>
                <w:sz w:val="19"/>
              </w:rPr>
              <w:t>Implied by the SKILL_SOURCES design (self_declared / inferred / assessed / certified)</w:t>
            </w:r>
          </w:p>
        </w:tc>
        <w:tc>
          <w:tcPr>
            <w:tcW w:type="dxa" w:w="3744"/>
            <w:shd w:val="clear" w:color="auto" w:fill="FFFFFF"/>
            <w:tcMar>
              <w:top w:w="60" w:type="dxa"/>
              <w:bottom w:w="60" w:type="dxa"/>
              <w:left w:w="100" w:type="dxa"/>
              <w:right w:w="100" w:type="dxa"/>
            </w:tcMar>
          </w:tcPr>
          <w:p>
            <w:pPr>
              <w:spacing w:before="0" w:after="0"/>
            </w:pPr>
            <w:r/>
            <w:r>
              <w:rPr>
                <w:color w:val="3C4752"/>
                <w:sz w:val="19"/>
              </w:rPr>
              <w:t>Supply independently verified skill results that would outrank a candidate’s self-declared skills in scoring.</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LLM provider</w:t>
            </w:r>
          </w:p>
        </w:tc>
        <w:tc>
          <w:tcPr>
            <w:tcW w:type="dxa" w:w="2592"/>
            <w:shd w:val="clear" w:color="auto" w:fill="F2F4F6"/>
            <w:tcMar>
              <w:top w:w="60" w:type="dxa"/>
              <w:bottom w:w="60" w:type="dxa"/>
              <w:left w:w="100" w:type="dxa"/>
              <w:right w:w="100" w:type="dxa"/>
            </w:tcMar>
          </w:tcPr>
          <w:p>
            <w:pPr>
              <w:spacing w:before="0" w:after="0"/>
            </w:pPr>
            <w:r/>
            <w:r>
              <w:rPr>
                <w:color w:val="3C4752"/>
                <w:sz w:val="19"/>
              </w:rPr>
              <w:t>ADR-018, ADR-031</w:t>
            </w:r>
          </w:p>
        </w:tc>
        <w:tc>
          <w:tcPr>
            <w:tcW w:type="dxa" w:w="3744"/>
            <w:shd w:val="clear" w:color="auto" w:fill="F2F4F6"/>
            <w:tcMar>
              <w:top w:w="60" w:type="dxa"/>
              <w:bottom w:w="60" w:type="dxa"/>
              <w:left w:w="100" w:type="dxa"/>
              <w:right w:w="100" w:type="dxa"/>
            </w:tcMar>
          </w:tcPr>
          <w:p>
            <w:pPr>
              <w:spacing w:before="0" w:after="0"/>
            </w:pPr>
            <w:r/>
            <w:r>
              <w:rPr>
                <w:color w:val="3C4752"/>
                <w:sz w:val="19"/>
              </w:rPr>
              <w:t>Structured extraction from a résumé or a job description, and cached explanation text — never a score or a match decision (ADR-005, ADR-036).</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Embedding provider</w:t>
            </w:r>
          </w:p>
        </w:tc>
        <w:tc>
          <w:tcPr>
            <w:tcW w:type="dxa" w:w="2592"/>
            <w:shd w:val="clear" w:color="auto" w:fill="FFFFFF"/>
            <w:tcMar>
              <w:top w:w="60" w:type="dxa"/>
              <w:bottom w:w="60" w:type="dxa"/>
              <w:left w:w="100" w:type="dxa"/>
              <w:right w:w="100" w:type="dxa"/>
            </w:tcMar>
          </w:tcPr>
          <w:p>
            <w:pPr>
              <w:spacing w:before="0" w:after="0"/>
            </w:pPr>
            <w:r/>
            <w:r>
              <w:rPr>
                <w:color w:val="3C4752"/>
                <w:sz w:val="19"/>
              </w:rPr>
              <w:t>ADR-013, ADR-031</w:t>
            </w:r>
          </w:p>
        </w:tc>
        <w:tc>
          <w:tcPr>
            <w:tcW w:type="dxa" w:w="3744"/>
            <w:shd w:val="clear" w:color="auto" w:fill="FFFFFF"/>
            <w:tcMar>
              <w:top w:w="60" w:type="dxa"/>
              <w:bottom w:w="60" w:type="dxa"/>
              <w:left w:w="100" w:type="dxa"/>
              <w:right w:w="100" w:type="dxa"/>
            </w:tcMar>
          </w:tcPr>
          <w:p>
            <w:pPr>
              <w:spacing w:before="0" w:after="0"/>
            </w:pPr>
            <w:r/>
            <w:r>
              <w:rPr>
                <w:color w:val="3C4752"/>
                <w:sz w:val="19"/>
              </w:rPr>
              <w:t>Produce the 384-dimension vectors that would feed a semantic-similarity scoring component, stored in the pgvector column described in Section 4.2.</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Aadhaar verification</w:t>
            </w:r>
          </w:p>
        </w:tc>
        <w:tc>
          <w:tcPr>
            <w:tcW w:type="dxa" w:w="2592"/>
            <w:shd w:val="clear" w:color="auto" w:fill="F2F4F6"/>
            <w:tcMar>
              <w:top w:w="60" w:type="dxa"/>
              <w:bottom w:w="60" w:type="dxa"/>
              <w:left w:w="100" w:type="dxa"/>
              <w:right w:w="100" w:type="dxa"/>
            </w:tcMar>
          </w:tcPr>
          <w:p>
            <w:pPr>
              <w:spacing w:before="0" w:after="0"/>
            </w:pPr>
            <w:r/>
            <w:r>
              <w:rPr>
                <w:color w:val="3C4752"/>
                <w:sz w:val="19"/>
              </w:rPr>
              <w:t>ADR-011</w:t>
            </w:r>
          </w:p>
        </w:tc>
        <w:tc>
          <w:tcPr>
            <w:tcW w:type="dxa" w:w="3744"/>
            <w:shd w:val="clear" w:color="auto" w:fill="F2F4F6"/>
            <w:tcMar>
              <w:top w:w="60" w:type="dxa"/>
              <w:bottom w:w="60" w:type="dxa"/>
              <w:left w:w="100" w:type="dxa"/>
              <w:right w:w="100" w:type="dxa"/>
            </w:tcMar>
          </w:tcPr>
          <w:p>
            <w:pPr>
              <w:spacing w:before="0" w:after="0"/>
            </w:pPr>
            <w:r/>
            <w:r>
              <w:rPr>
                <w:color w:val="3C4752"/>
                <w:sz w:val="19"/>
              </w:rPr>
              <w:t>Optional identity verification, deliberately never the primary identifier.</w:t>
            </w:r>
          </w:p>
        </w:tc>
      </w:tr>
    </w:tbl>
    <w:p>
      <w:pPr>
        <w:spacing w:after="80"/>
      </w:pPr>
    </w:p>
    <w:p>
      <w:r>
        <w:br w:type="page"/>
      </w:r>
    </w:p>
    <w:p>
      <w:pPr>
        <w:pStyle w:val="Heading1"/>
      </w:pPr>
      <w:r>
        <w:rPr>
          <w:color w:val="0F6E84"/>
        </w:rPr>
        <w:t xml:space="preserve">6  </w:t>
      </w:r>
      <w:r>
        <w:t>Data Flow Diagrams</w:t>
      </w:r>
    </w:p>
    <w:p>
      <w:r>
        <w:rPr>
          <w:b w:val="0"/>
          <w:i w:val="0"/>
        </w:rPr>
        <w:t>Four flows that between them cover every shape of movement in the system: a synchronous read, an asynchronous write-triggered side effect, an offline batch import, and the platform’s one deliberate identity-disclosure mechanism.</w:t>
      </w:r>
    </w:p>
    <w:p>
      <w:pPr>
        <w:pStyle w:val="Heading2"/>
      </w:pPr>
      <w:r>
        <w:t>6.1  Synchronous Request — Reading a Candidate’s Matches</w:t>
      </w:r>
    </w:p>
    <w:p>
      <w:pPr>
        <w:jc w:val="center"/>
      </w:pPr>
      <w:r>
        <w:drawing>
          <wp:inline xmlns:a="http://schemas.openxmlformats.org/drawingml/2006/main" xmlns:pic="http://schemas.openxmlformats.org/drawingml/2006/picture">
            <wp:extent cx="5760720" cy="5470208"/>
            <wp:docPr id="2" name="Picture 2"/>
            <wp:cNvGraphicFramePr>
              <a:graphicFrameLocks noChangeAspect="1"/>
            </wp:cNvGraphicFramePr>
            <a:graphic>
              <a:graphicData uri="http://schemas.openxmlformats.org/drawingml/2006/picture">
                <pic:pic>
                  <pic:nvPicPr>
                    <pic:cNvPr id="0" name="hld_2_sync.png"/>
                    <pic:cNvPicPr/>
                  </pic:nvPicPr>
                  <pic:blipFill>
                    <a:blip r:embed="rId12"/>
                    <a:stretch>
                      <a:fillRect/>
                    </a:stretch>
                  </pic:blipFill>
                  <pic:spPr>
                    <a:xfrm>
                      <a:off x="0" y="0"/>
                      <a:ext cx="5760720" cy="5470208"/>
                    </a:xfrm>
                    <a:prstGeom prst="rect"/>
                  </pic:spPr>
                </pic:pic>
              </a:graphicData>
            </a:graphic>
          </wp:inline>
        </w:drawing>
      </w:r>
    </w:p>
    <w:p>
      <w:pPr>
        <w:pStyle w:val="Caption2"/>
        <w:jc w:val="center"/>
      </w:pPr>
      <w:r>
        <w:t>Figure 2. A read-only request. No step here ever writes to PostgreSQL.</w:t>
      </w:r>
    </w:p>
    <w:p>
      <w:pPr>
        <w:spacing w:after="40"/>
      </w:pPr>
    </w:p>
    <w:p>
      <w:pPr>
        <w:pStyle w:val="Heading2"/>
      </w:pPr>
      <w:r>
        <w:t>6.2  Asynchronous — A Write Triggers a Background Side Effect</w:t>
      </w:r>
    </w:p>
    <w:p>
      <w:pPr>
        <w:jc w:val="center"/>
      </w:pPr>
      <w:r>
        <w:drawing>
          <wp:inline xmlns:a="http://schemas.openxmlformats.org/drawingml/2006/main" xmlns:pic="http://schemas.openxmlformats.org/drawingml/2006/picture">
            <wp:extent cx="5760720" cy="4508665"/>
            <wp:docPr id="3" name="Picture 3"/>
            <wp:cNvGraphicFramePr>
              <a:graphicFrameLocks noChangeAspect="1"/>
            </wp:cNvGraphicFramePr>
            <a:graphic>
              <a:graphicData uri="http://schemas.openxmlformats.org/drawingml/2006/picture">
                <pic:pic>
                  <pic:nvPicPr>
                    <pic:cNvPr id="0" name="hld_3_async.png"/>
                    <pic:cNvPicPr/>
                  </pic:nvPicPr>
                  <pic:blipFill>
                    <a:blip r:embed="rId13"/>
                    <a:stretch>
                      <a:fillRect/>
                    </a:stretch>
                  </pic:blipFill>
                  <pic:spPr>
                    <a:xfrm>
                      <a:off x="0" y="0"/>
                      <a:ext cx="5760720" cy="4508665"/>
                    </a:xfrm>
                    <a:prstGeom prst="rect"/>
                  </pic:spPr>
                </pic:pic>
              </a:graphicData>
            </a:graphic>
          </wp:inline>
        </w:drawing>
      </w:r>
    </w:p>
    <w:p>
      <w:pPr>
        <w:pStyle w:val="Caption2"/>
        <w:jc w:val="center"/>
      </w:pPr>
      <w:r>
        <w:t>Figure 3. Notification delivery, event-driven (ADR-006). The same shape applies to job alerts and scheduled expiry sweeps -- a cron on the worker, never inline in a request handler.</w:t>
      </w:r>
    </w:p>
    <w:p>
      <w:pPr>
        <w:spacing w:after="40"/>
      </w:pPr>
    </w:p>
    <w:p>
      <w:pPr>
        <w:pStyle w:val="Heading2"/>
      </w:pPr>
      <w:r>
        <w:t>6.3  Offline Batch — Importing the National Skills Feed</w:t>
      </w:r>
    </w:p>
    <w:p>
      <w:pPr>
        <w:jc w:val="center"/>
      </w:pPr>
      <w:r>
        <w:drawing>
          <wp:inline xmlns:a="http://schemas.openxmlformats.org/drawingml/2006/main" xmlns:pic="http://schemas.openxmlformats.org/drawingml/2006/picture">
            <wp:extent cx="5760720" cy="3690822"/>
            <wp:docPr id="4" name="Picture 4"/>
            <wp:cNvGraphicFramePr>
              <a:graphicFrameLocks noChangeAspect="1"/>
            </wp:cNvGraphicFramePr>
            <a:graphic>
              <a:graphicData uri="http://schemas.openxmlformats.org/drawingml/2006/picture">
                <pic:pic>
                  <pic:nvPicPr>
                    <pic:cNvPr id="0" name="hld_4_nsqf.png"/>
                    <pic:cNvPicPr/>
                  </pic:nvPicPr>
                  <pic:blipFill>
                    <a:blip r:embed="rId14"/>
                    <a:stretch>
                      <a:fillRect/>
                    </a:stretch>
                  </pic:blipFill>
                  <pic:spPr>
                    <a:xfrm>
                      <a:off x="0" y="0"/>
                      <a:ext cx="5760720" cy="3690822"/>
                    </a:xfrm>
                    <a:prstGeom prst="rect"/>
                  </pic:spPr>
                </pic:pic>
              </a:graphicData>
            </a:graphic>
          </wp:inline>
        </w:drawing>
      </w:r>
    </w:p>
    <w:p>
      <w:pPr>
        <w:pStyle w:val="Caption2"/>
        <w:jc w:val="center"/>
      </w:pPr>
      <w:r>
        <w:t>Figure 4. One-directional, re-runnable, and the only path that ever reads MongoDB (ADR-034).</w:t>
      </w:r>
    </w:p>
    <w:p>
      <w:pPr>
        <w:spacing w:after="40"/>
      </w:pPr>
    </w:p>
    <w:p>
      <w:pPr>
        <w:pStyle w:val="Heading2"/>
      </w:pPr>
      <w:r>
        <w:t>6.4  The One Deliberate Identity Disclosure</w:t>
      </w:r>
    </w:p>
    <w:p>
      <w:pPr>
        <w:jc w:val="center"/>
      </w:pPr>
      <w:r>
        <w:drawing>
          <wp:inline xmlns:a="http://schemas.openxmlformats.org/drawingml/2006/main" xmlns:pic="http://schemas.openxmlformats.org/drawingml/2006/picture">
            <wp:extent cx="5760720" cy="4199218"/>
            <wp:docPr id="5" name="Picture 5"/>
            <wp:cNvGraphicFramePr>
              <a:graphicFrameLocks noChangeAspect="1"/>
            </wp:cNvGraphicFramePr>
            <a:graphic>
              <a:graphicData uri="http://schemas.openxmlformats.org/drawingml/2006/picture">
                <pic:pic>
                  <pic:nvPicPr>
                    <pic:cNvPr id="0" name="hld_5_disclosure.png"/>
                    <pic:cNvPicPr/>
                  </pic:nvPicPr>
                  <pic:blipFill>
                    <a:blip r:embed="rId15"/>
                    <a:stretch>
                      <a:fillRect/>
                    </a:stretch>
                  </pic:blipFill>
                  <pic:spPr>
                    <a:xfrm>
                      <a:off x="0" y="0"/>
                      <a:ext cx="5760720" cy="4199218"/>
                    </a:xfrm>
                    <a:prstGeom prst="rect"/>
                  </pic:spPr>
                </pic:pic>
              </a:graphicData>
            </a:graphic>
          </wp:inline>
        </w:drawing>
      </w:r>
    </w:p>
    <w:p>
      <w:pPr>
        <w:pStyle w:val="Caption2"/>
        <w:jc w:val="center"/>
      </w:pPr>
      <w:r>
        <w:t>Figure 5. Applying to a job and registering course interest are the platform's only two moments a candidate's identity crosses to an organisation -- both follow this exact shape.</w:t>
      </w:r>
    </w:p>
    <w:p>
      <w:pPr>
        <w:spacing w:after="40"/>
      </w:pPr>
    </w:p>
    <w:p>
      <w:r>
        <w:br w:type="page"/>
      </w:r>
    </w:p>
    <w:p>
      <w:pPr>
        <w:pStyle w:val="Heading1"/>
      </w:pPr>
      <w:r>
        <w:rPr>
          <w:color w:val="0F6E84"/>
        </w:rPr>
        <w:t xml:space="preserve">7  </w:t>
      </w:r>
      <w:r>
        <w:t>Cross-Cutting Concerns</w:t>
      </w:r>
    </w:p>
    <w:tbl>
      <w:tblPr>
        <w:tblStyle w:val="TableGrid"/>
        <w:tblW w:type="auto" w:w="0"/>
        <w:jc w:val="center"/>
        <w:tblLayout w:type="autofit"/>
        <w:tblLook w:firstColumn="1" w:firstRow="1" w:lastColumn="0" w:lastRow="0" w:noHBand="0" w:noVBand="1" w:val="04A0"/>
      </w:tblPr>
      <w:tblGrid>
        <w:gridCol w:w="4706"/>
        <w:gridCol w:w="4706"/>
      </w:tblGrid>
      <w:tr>
        <w:tc>
          <w:tcPr>
            <w:tcW w:type="dxa" w:w="2016"/>
            <w:shd w:val="clear" w:color="auto" w:fill="0B2E4E"/>
            <w:tcMar>
              <w:top w:w="60" w:type="dxa"/>
              <w:bottom w:w="60" w:type="dxa"/>
              <w:left w:w="100" w:type="dxa"/>
              <w:right w:w="100" w:type="dxa"/>
            </w:tcMar>
            <w:vAlign w:val="center"/>
          </w:tcPr>
          <w:p>
            <w:r/>
            <w:r>
              <w:rPr>
                <w:b/>
                <w:color w:val="FFFFFF"/>
                <w:sz w:val="19"/>
              </w:rPr>
              <w:t>Concern</w:t>
            </w:r>
          </w:p>
        </w:tc>
        <w:tc>
          <w:tcPr>
            <w:tcW w:type="dxa" w:w="6624"/>
            <w:shd w:val="clear" w:color="auto" w:fill="0B2E4E"/>
            <w:tcMar>
              <w:top w:w="60" w:type="dxa"/>
              <w:bottom w:w="60" w:type="dxa"/>
              <w:left w:w="100" w:type="dxa"/>
              <w:right w:w="100" w:type="dxa"/>
            </w:tcMar>
            <w:vAlign w:val="center"/>
          </w:tcPr>
          <w:p>
            <w:r/>
            <w:r>
              <w:rPr>
                <w:b/>
                <w:color w:val="FFFFFF"/>
                <w:sz w:val="19"/>
              </w:rPr>
              <w:t>Implementation</w:t>
            </w:r>
          </w:p>
        </w:tc>
      </w:tr>
      <w:tr>
        <w:tc>
          <w:tcPr>
            <w:tcW w:type="dxa" w:w="2016"/>
            <w:shd w:val="clear" w:color="auto" w:fill="F2F4F6"/>
            <w:tcMar>
              <w:top w:w="60" w:type="dxa"/>
              <w:bottom w:w="60" w:type="dxa"/>
              <w:left w:w="100" w:type="dxa"/>
              <w:right w:w="100" w:type="dxa"/>
            </w:tcMar>
          </w:tcPr>
          <w:p>
            <w:pPr>
              <w:spacing w:before="0" w:after="0"/>
            </w:pPr>
            <w:r/>
            <w:r>
              <w:rPr>
                <w:color w:val="3C4752"/>
                <w:sz w:val="19"/>
              </w:rPr>
              <w:t>Authentication</w:t>
            </w:r>
          </w:p>
        </w:tc>
        <w:tc>
          <w:tcPr>
            <w:tcW w:type="dxa" w:w="6624"/>
            <w:shd w:val="clear" w:color="auto" w:fill="F2F4F6"/>
            <w:tcMar>
              <w:top w:w="60" w:type="dxa"/>
              <w:bottom w:w="60" w:type="dxa"/>
              <w:left w:w="100" w:type="dxa"/>
              <w:right w:w="100" w:type="dxa"/>
            </w:tcMar>
          </w:tcPr>
          <w:p>
            <w:pPr>
              <w:spacing w:before="0" w:after="0"/>
            </w:pPr>
            <w:r/>
            <w:r>
              <w:rPr>
                <w:color w:val="3C4752"/>
                <w:sz w:val="19"/>
              </w:rPr>
              <w:t>Stateless JWT access tokens (15-minute life) plus a longer-lived refresh token; no password anywhere in the product. Two credential paths (phone/OTP, email/OTP) converge on one token-issuance function.</w:t>
            </w:r>
          </w:p>
        </w:tc>
      </w:tr>
      <w:tr>
        <w:tc>
          <w:tcPr>
            <w:tcW w:type="dxa" w:w="2016"/>
            <w:shd w:val="clear" w:color="auto" w:fill="FFFFFF"/>
            <w:tcMar>
              <w:top w:w="60" w:type="dxa"/>
              <w:bottom w:w="60" w:type="dxa"/>
              <w:left w:w="100" w:type="dxa"/>
              <w:right w:w="100" w:type="dxa"/>
            </w:tcMar>
          </w:tcPr>
          <w:p>
            <w:pPr>
              <w:spacing w:before="0" w:after="0"/>
            </w:pPr>
            <w:r/>
            <w:r>
              <w:rPr>
                <w:color w:val="3C4752"/>
                <w:sz w:val="19"/>
              </w:rPr>
              <w:t>Authorization</w:t>
            </w:r>
          </w:p>
        </w:tc>
        <w:tc>
          <w:tcPr>
            <w:tcW w:type="dxa" w:w="6624"/>
            <w:shd w:val="clear" w:color="auto" w:fill="FFFFFF"/>
            <w:tcMar>
              <w:top w:w="60" w:type="dxa"/>
              <w:bottom w:w="60" w:type="dxa"/>
              <w:left w:w="100" w:type="dxa"/>
              <w:right w:w="100" w:type="dxa"/>
            </w:tcMar>
          </w:tcPr>
          <w:p>
            <w:pPr>
              <w:spacing w:before="0" w:after="0"/>
            </w:pPr>
            <w:r/>
            <w:r>
              <w:rPr>
                <w:color w:val="3C4752"/>
                <w:sz w:val="19"/>
              </w:rPr>
              <w:t>Two independent layers: require() resolves a Permission from membership role, scoped to a tenant taken from the path (ADR-039); require_operator() resolves a global, flag-granted authority with no tenant at all (ADR-042). Neither layer is a role check — both ask for a named Permission.</w:t>
            </w:r>
          </w:p>
        </w:tc>
      </w:tr>
      <w:tr>
        <w:tc>
          <w:tcPr>
            <w:tcW w:type="dxa" w:w="2016"/>
            <w:shd w:val="clear" w:color="auto" w:fill="F2F4F6"/>
            <w:tcMar>
              <w:top w:w="60" w:type="dxa"/>
              <w:bottom w:w="60" w:type="dxa"/>
              <w:left w:w="100" w:type="dxa"/>
              <w:right w:w="100" w:type="dxa"/>
            </w:tcMar>
          </w:tcPr>
          <w:p>
            <w:pPr>
              <w:spacing w:before="0" w:after="0"/>
            </w:pPr>
            <w:r/>
            <w:r>
              <w:rPr>
                <w:color w:val="3C4752"/>
                <w:sz w:val="19"/>
              </w:rPr>
              <w:t>Request pipeline</w:t>
            </w:r>
          </w:p>
        </w:tc>
        <w:tc>
          <w:tcPr>
            <w:tcW w:type="dxa" w:w="6624"/>
            <w:shd w:val="clear" w:color="auto" w:fill="F2F4F6"/>
            <w:tcMar>
              <w:top w:w="60" w:type="dxa"/>
              <w:bottom w:w="60" w:type="dxa"/>
              <w:left w:w="100" w:type="dxa"/>
              <w:right w:w="100" w:type="dxa"/>
            </w:tcMar>
          </w:tcPr>
          <w:p>
            <w:pPr>
              <w:spacing w:before="0" w:after="0"/>
            </w:pPr>
            <w:r/>
            <w:r>
              <w:rPr>
                <w:color w:val="3C4752"/>
                <w:sz w:val="19"/>
              </w:rPr>
              <w:t>Pure ASGI middleware only, in order: request context (id, user, tenant bound to structured-logging context) → security headers → body-size cap → rate limiting → CORS → routing. Never BaseHTTPMiddleware, which would break context propagation into request-scoped logging.</w:t>
            </w:r>
          </w:p>
        </w:tc>
      </w:tr>
      <w:tr>
        <w:tc>
          <w:tcPr>
            <w:tcW w:type="dxa" w:w="2016"/>
            <w:shd w:val="clear" w:color="auto" w:fill="FFFFFF"/>
            <w:tcMar>
              <w:top w:w="60" w:type="dxa"/>
              <w:bottom w:w="60" w:type="dxa"/>
              <w:left w:w="100" w:type="dxa"/>
              <w:right w:w="100" w:type="dxa"/>
            </w:tcMar>
          </w:tcPr>
          <w:p>
            <w:pPr>
              <w:spacing w:before="0" w:after="0"/>
            </w:pPr>
            <w:r/>
            <w:r>
              <w:rPr>
                <w:color w:val="3C4752"/>
                <w:sz w:val="19"/>
              </w:rPr>
              <w:t>Logging</w:t>
            </w:r>
          </w:p>
        </w:tc>
        <w:tc>
          <w:tcPr>
            <w:tcW w:type="dxa" w:w="6624"/>
            <w:shd w:val="clear" w:color="auto" w:fill="FFFFFF"/>
            <w:tcMar>
              <w:top w:w="60" w:type="dxa"/>
              <w:bottom w:w="60" w:type="dxa"/>
              <w:left w:w="100" w:type="dxa"/>
              <w:right w:w="100" w:type="dxa"/>
            </w:tcMar>
          </w:tcPr>
          <w:p>
            <w:pPr>
              <w:spacing w:before="0" w:after="0"/>
            </w:pPr>
            <w:r/>
            <w:r>
              <w:rPr>
                <w:color w:val="3C4752"/>
                <w:sz w:val="19"/>
              </w:rPr>
              <w:t>Structured JSON to stdout, one shared processor tail for both structlog and the standard library logger, with an explicit, unbypassable redaction filter (ADR-023, ADR-040). OTPs, phone numbers, résumé content and assessment results are never permitted to reach a log sink.</w:t>
            </w:r>
          </w:p>
        </w:tc>
      </w:tr>
      <w:tr>
        <w:tc>
          <w:tcPr>
            <w:tcW w:type="dxa" w:w="2016"/>
            <w:shd w:val="clear" w:color="auto" w:fill="F2F4F6"/>
            <w:tcMar>
              <w:top w:w="60" w:type="dxa"/>
              <w:bottom w:w="60" w:type="dxa"/>
              <w:left w:w="100" w:type="dxa"/>
              <w:right w:w="100" w:type="dxa"/>
            </w:tcMar>
          </w:tcPr>
          <w:p>
            <w:pPr>
              <w:spacing w:before="0" w:after="0"/>
            </w:pPr>
            <w:r/>
            <w:r>
              <w:rPr>
                <w:color w:val="3C4752"/>
                <w:sz w:val="19"/>
              </w:rPr>
              <w:t>Configuration</w:t>
            </w:r>
          </w:p>
        </w:tc>
        <w:tc>
          <w:tcPr>
            <w:tcW w:type="dxa" w:w="6624"/>
            <w:shd w:val="clear" w:color="auto" w:fill="F2F4F6"/>
            <w:tcMar>
              <w:top w:w="60" w:type="dxa"/>
              <w:bottom w:w="60" w:type="dxa"/>
              <w:left w:w="100" w:type="dxa"/>
              <w:right w:w="100" w:type="dxa"/>
            </w:tcMar>
          </w:tcPr>
          <w:p>
            <w:pPr>
              <w:spacing w:before="0" w:after="0"/>
            </w:pPr>
            <w:r/>
            <w:r>
              <w:rPr>
                <w:color w:val="3C4752"/>
                <w:sz w:val="19"/>
              </w:rPr>
              <w:t>Environment variables through a single pydantic-settings object, read via get_settings() inside functions — never bound at import time, so tests can override it.</w:t>
            </w:r>
          </w:p>
        </w:tc>
      </w:tr>
      <w:tr>
        <w:tc>
          <w:tcPr>
            <w:tcW w:type="dxa" w:w="2016"/>
            <w:shd w:val="clear" w:color="auto" w:fill="FFFFFF"/>
            <w:tcMar>
              <w:top w:w="60" w:type="dxa"/>
              <w:bottom w:w="60" w:type="dxa"/>
              <w:left w:w="100" w:type="dxa"/>
              <w:right w:w="100" w:type="dxa"/>
            </w:tcMar>
          </w:tcPr>
          <w:p>
            <w:pPr>
              <w:spacing w:before="0" w:after="0"/>
            </w:pPr>
            <w:r/>
            <w:r>
              <w:rPr>
                <w:color w:val="3C4752"/>
                <w:sz w:val="19"/>
              </w:rPr>
              <w:t>Observability beyond logs</w:t>
            </w:r>
          </w:p>
        </w:tc>
        <w:tc>
          <w:tcPr>
            <w:tcW w:type="dxa" w:w="6624"/>
            <w:shd w:val="clear" w:color="auto" w:fill="FFFFFF"/>
            <w:tcMar>
              <w:top w:w="60" w:type="dxa"/>
              <w:bottom w:w="60" w:type="dxa"/>
              <w:left w:w="100" w:type="dxa"/>
              <w:right w:w="100" w:type="dxa"/>
            </w:tcMar>
          </w:tcPr>
          <w:p>
            <w:pPr>
              <w:spacing w:before="0" w:after="0"/>
            </w:pPr>
            <w:r/>
            <w:r>
              <w:rPr>
                <w:color w:val="3C4752"/>
                <w:sz w:val="19"/>
              </w:rPr>
              <w:t>Deferred (ADR-040 supersedes the OpenTelemetry/Prometheus/Grafana tooling named in ADR-019). Adequate for a single development instance; not yet built for a deployed one.</w:t>
            </w:r>
          </w:p>
        </w:tc>
      </w:tr>
    </w:tbl>
    <w:p>
      <w:pPr>
        <w:spacing w:after="80"/>
      </w:pPr>
    </w:p>
    <w:p>
      <w:r>
        <w:br w:type="page"/>
      </w:r>
    </w:p>
    <w:p>
      <w:pPr>
        <w:pStyle w:val="Heading1"/>
      </w:pPr>
      <w:r>
        <w:rPr>
          <w:color w:val="0F6E84"/>
        </w:rPr>
        <w:t xml:space="preserve">8  </w:t>
      </w:r>
      <w:r>
        <w:t>Deployment Topology</w:t>
      </w:r>
    </w:p>
    <w:p>
      <w:r>
        <w:rPr>
          <w:b w:val="0"/>
          <w:i w:val="0"/>
        </w:rPr>
        <w:t>Planned per ADR-028, not yet provisioned. Today the system runs only in local development, orchestrated by docker-compose.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304"/>
            <w:shd w:val="clear" w:color="auto" w:fill="0B2E4E"/>
            <w:tcMar>
              <w:top w:w="60" w:type="dxa"/>
              <w:bottom w:w="60" w:type="dxa"/>
              <w:left w:w="100" w:type="dxa"/>
              <w:right w:w="100" w:type="dxa"/>
            </w:tcMar>
            <w:vAlign w:val="center"/>
          </w:tcPr>
          <w:p>
            <w:r/>
            <w:r>
              <w:rPr>
                <w:b/>
                <w:color w:val="FFFFFF"/>
                <w:sz w:val="19"/>
              </w:rPr>
              <w:t>Component</w:t>
            </w:r>
          </w:p>
        </w:tc>
        <w:tc>
          <w:tcPr>
            <w:tcW w:type="dxa" w:w="3456"/>
            <w:shd w:val="clear" w:color="auto" w:fill="0B2E4E"/>
            <w:tcMar>
              <w:top w:w="60" w:type="dxa"/>
              <w:bottom w:w="60" w:type="dxa"/>
              <w:left w:w="100" w:type="dxa"/>
              <w:right w:w="100" w:type="dxa"/>
            </w:tcMar>
            <w:vAlign w:val="center"/>
          </w:tcPr>
          <w:p>
            <w:r/>
            <w:r>
              <w:rPr>
                <w:b/>
                <w:color w:val="FFFFFF"/>
                <w:sz w:val="19"/>
              </w:rPr>
              <w:t>Planned Target</w:t>
            </w:r>
          </w:p>
        </w:tc>
        <w:tc>
          <w:tcPr>
            <w:tcW w:type="dxa" w:w="2880"/>
            <w:shd w:val="clear" w:color="auto" w:fill="0B2E4E"/>
            <w:tcMar>
              <w:top w:w="60" w:type="dxa"/>
              <w:bottom w:w="60" w:type="dxa"/>
              <w:left w:w="100" w:type="dxa"/>
              <w:right w:w="100" w:type="dxa"/>
            </w:tcMar>
            <w:vAlign w:val="center"/>
          </w:tcPr>
          <w:p>
            <w:r/>
            <w:r>
              <w:rPr>
                <w:b/>
                <w:color w:val="FFFFFF"/>
                <w:sz w:val="19"/>
              </w:rPr>
              <w:t>Today</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API and worker</w:t>
            </w:r>
          </w:p>
        </w:tc>
        <w:tc>
          <w:tcPr>
            <w:tcW w:type="dxa" w:w="3456"/>
            <w:shd w:val="clear" w:color="auto" w:fill="F2F4F6"/>
            <w:tcMar>
              <w:top w:w="60" w:type="dxa"/>
              <w:bottom w:w="60" w:type="dxa"/>
              <w:left w:w="100" w:type="dxa"/>
              <w:right w:w="100" w:type="dxa"/>
            </w:tcMar>
          </w:tcPr>
          <w:p>
            <w:pPr>
              <w:spacing w:before="0" w:after="0"/>
            </w:pPr>
            <w:r/>
            <w:r>
              <w:rPr>
                <w:color w:val="3C4752"/>
                <w:sz w:val="19"/>
              </w:rPr>
              <w:t>AWS ECS Fargate, two services (api, worker), ap-south-1 (Mumbai)</w:t>
            </w:r>
          </w:p>
        </w:tc>
        <w:tc>
          <w:tcPr>
            <w:tcW w:type="dxa" w:w="2880"/>
            <w:shd w:val="clear" w:color="auto" w:fill="F2F4F6"/>
            <w:tcMar>
              <w:top w:w="60" w:type="dxa"/>
              <w:bottom w:w="60" w:type="dxa"/>
              <w:left w:w="100" w:type="dxa"/>
              <w:right w:w="100" w:type="dxa"/>
            </w:tcMar>
          </w:tcPr>
          <w:p>
            <w:pPr>
              <w:spacing w:before="0" w:after="0"/>
            </w:pPr>
            <w:r/>
            <w:r>
              <w:rPr>
                <w:color w:val="3C4752"/>
                <w:sz w:val="19"/>
              </w:rPr>
              <w:t>A single local process each, no container orchestration</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PostgreSQL</w:t>
            </w:r>
          </w:p>
        </w:tc>
        <w:tc>
          <w:tcPr>
            <w:tcW w:type="dxa" w:w="3456"/>
            <w:shd w:val="clear" w:color="auto" w:fill="FFFFFF"/>
            <w:tcMar>
              <w:top w:w="60" w:type="dxa"/>
              <w:bottom w:w="60" w:type="dxa"/>
              <w:left w:w="100" w:type="dxa"/>
              <w:right w:w="100" w:type="dxa"/>
            </w:tcMar>
          </w:tcPr>
          <w:p>
            <w:pPr>
              <w:spacing w:before="0" w:after="0"/>
            </w:pPr>
            <w:r/>
            <w:r>
              <w:rPr>
                <w:color w:val="3C4752"/>
                <w:sz w:val="19"/>
              </w:rPr>
              <w:t>RDS PostgreSQL 16 with pgvector</w:t>
            </w:r>
          </w:p>
        </w:tc>
        <w:tc>
          <w:tcPr>
            <w:tcW w:type="dxa" w:w="2880"/>
            <w:shd w:val="clear" w:color="auto" w:fill="FFFFFF"/>
            <w:tcMar>
              <w:top w:w="60" w:type="dxa"/>
              <w:bottom w:w="60" w:type="dxa"/>
              <w:left w:w="100" w:type="dxa"/>
              <w:right w:w="100" w:type="dxa"/>
            </w:tcMar>
          </w:tcPr>
          <w:p>
            <w:pPr>
              <w:spacing w:before="0" w:after="0"/>
            </w:pPr>
            <w:r/>
            <w:r>
              <w:rPr>
                <w:color w:val="3C4752"/>
                <w:sz w:val="19"/>
              </w:rPr>
              <w:t>Local Docker container, port 5433</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Redis</w:t>
            </w:r>
          </w:p>
        </w:tc>
        <w:tc>
          <w:tcPr>
            <w:tcW w:type="dxa" w:w="3456"/>
            <w:shd w:val="clear" w:color="auto" w:fill="F2F4F6"/>
            <w:tcMar>
              <w:top w:w="60" w:type="dxa"/>
              <w:bottom w:w="60" w:type="dxa"/>
              <w:left w:w="100" w:type="dxa"/>
              <w:right w:w="100" w:type="dxa"/>
            </w:tcMar>
          </w:tcPr>
          <w:p>
            <w:pPr>
              <w:spacing w:before="0" w:after="0"/>
            </w:pPr>
            <w:r/>
            <w:r>
              <w:rPr>
                <w:color w:val="3C4752"/>
                <w:sz w:val="19"/>
              </w:rPr>
              <w:t>ElastiCache</w:t>
            </w:r>
          </w:p>
        </w:tc>
        <w:tc>
          <w:tcPr>
            <w:tcW w:type="dxa" w:w="2880"/>
            <w:shd w:val="clear" w:color="auto" w:fill="F2F4F6"/>
            <w:tcMar>
              <w:top w:w="60" w:type="dxa"/>
              <w:bottom w:w="60" w:type="dxa"/>
              <w:left w:w="100" w:type="dxa"/>
              <w:right w:w="100" w:type="dxa"/>
            </w:tcMar>
          </w:tcPr>
          <w:p>
            <w:pPr>
              <w:spacing w:before="0" w:after="0"/>
            </w:pPr>
            <w:r/>
            <w:r>
              <w:rPr>
                <w:color w:val="3C4752"/>
                <w:sz w:val="19"/>
              </w:rPr>
              <w:t>Local Docker container, port 6380</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Object storage (future)</w:t>
            </w:r>
          </w:p>
        </w:tc>
        <w:tc>
          <w:tcPr>
            <w:tcW w:type="dxa" w:w="3456"/>
            <w:shd w:val="clear" w:color="auto" w:fill="FFFFFF"/>
            <w:tcMar>
              <w:top w:w="60" w:type="dxa"/>
              <w:bottom w:w="60" w:type="dxa"/>
              <w:left w:w="100" w:type="dxa"/>
              <w:right w:w="100" w:type="dxa"/>
            </w:tcMar>
          </w:tcPr>
          <w:p>
            <w:pPr>
              <w:spacing w:before="0" w:after="0"/>
            </w:pPr>
            <w:r/>
            <w:r>
              <w:rPr>
                <w:color w:val="3C4752"/>
                <w:sz w:val="19"/>
              </w:rPr>
              <w:t>S3 with SSE-KMS</w:t>
            </w:r>
          </w:p>
        </w:tc>
        <w:tc>
          <w:tcPr>
            <w:tcW w:type="dxa" w:w="2880"/>
            <w:shd w:val="clear" w:color="auto" w:fill="FFFFFF"/>
            <w:tcMar>
              <w:top w:w="60" w:type="dxa"/>
              <w:bottom w:w="60" w:type="dxa"/>
              <w:left w:w="100" w:type="dxa"/>
              <w:right w:w="100" w:type="dxa"/>
            </w:tcMar>
          </w:tcPr>
          <w:p>
            <w:pPr>
              <w:spacing w:before="0" w:after="0"/>
            </w:pPr>
            <w:r/>
            <w:r>
              <w:rPr>
                <w:color w:val="3C4752"/>
                <w:sz w:val="19"/>
              </w:rPr>
              <w:t>Not provisioned — nothing is stored yet</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Secrets</w:t>
            </w:r>
          </w:p>
        </w:tc>
        <w:tc>
          <w:tcPr>
            <w:tcW w:type="dxa" w:w="3456"/>
            <w:shd w:val="clear" w:color="auto" w:fill="F2F4F6"/>
            <w:tcMar>
              <w:top w:w="60" w:type="dxa"/>
              <w:bottom w:w="60" w:type="dxa"/>
              <w:left w:w="100" w:type="dxa"/>
              <w:right w:w="100" w:type="dxa"/>
            </w:tcMar>
          </w:tcPr>
          <w:p>
            <w:pPr>
              <w:spacing w:before="0" w:after="0"/>
            </w:pPr>
            <w:r/>
            <w:r>
              <w:rPr>
                <w:color w:val="3C4752"/>
                <w:sz w:val="19"/>
              </w:rPr>
              <w:t>AWS Secrets Manager</w:t>
            </w:r>
          </w:p>
        </w:tc>
        <w:tc>
          <w:tcPr>
            <w:tcW w:type="dxa" w:w="2880"/>
            <w:shd w:val="clear" w:color="auto" w:fill="F2F4F6"/>
            <w:tcMar>
              <w:top w:w="60" w:type="dxa"/>
              <w:bottom w:w="60" w:type="dxa"/>
              <w:left w:w="100" w:type="dxa"/>
              <w:right w:w="100" w:type="dxa"/>
            </w:tcMar>
          </w:tcPr>
          <w:p>
            <w:pPr>
              <w:spacing w:before="0" w:after="0"/>
            </w:pPr>
            <w:r/>
            <w:r>
              <w:rPr>
                <w:color w:val="3C4752"/>
                <w:sz w:val="19"/>
              </w:rPr>
              <w:t>A local .env file</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Infrastructure definition</w:t>
            </w:r>
          </w:p>
        </w:tc>
        <w:tc>
          <w:tcPr>
            <w:tcW w:type="dxa" w:w="3456"/>
            <w:shd w:val="clear" w:color="auto" w:fill="FFFFFF"/>
            <w:tcMar>
              <w:top w:w="60" w:type="dxa"/>
              <w:bottom w:w="60" w:type="dxa"/>
              <w:left w:w="100" w:type="dxa"/>
              <w:right w:w="100" w:type="dxa"/>
            </w:tcMar>
          </w:tcPr>
          <w:p>
            <w:pPr>
              <w:spacing w:before="0" w:after="0"/>
            </w:pPr>
            <w:r/>
            <w:r>
              <w:rPr>
                <w:color w:val="3C4752"/>
                <w:sz w:val="19"/>
              </w:rPr>
              <w:t>Terraform, no console configuration</w:t>
            </w:r>
          </w:p>
        </w:tc>
        <w:tc>
          <w:tcPr>
            <w:tcW w:type="dxa" w:w="2880"/>
            <w:shd w:val="clear" w:color="auto" w:fill="FFFFFF"/>
            <w:tcMar>
              <w:top w:w="60" w:type="dxa"/>
              <w:bottom w:w="60" w:type="dxa"/>
              <w:left w:w="100" w:type="dxa"/>
              <w:right w:w="100" w:type="dxa"/>
            </w:tcMar>
          </w:tcPr>
          <w:p>
            <w:pPr>
              <w:spacing w:before="0" w:after="0"/>
            </w:pPr>
            <w:r/>
            <w:r>
              <w:rPr>
                <w:color w:val="3C4752"/>
                <w:sz w:val="19"/>
              </w:rPr>
              <w:t>Not yet written</w:t>
            </w:r>
          </w:p>
        </w:tc>
      </w:tr>
    </w:tbl>
    <w:p>
      <w:pPr>
        <w:spacing w:after="80"/>
      </w:pPr>
    </w:p>
    <w:p>
      <w:r>
        <w:rPr>
          <w:b w:val="0"/>
          <w:i w:val="0"/>
        </w:rPr>
        <w:t>India residency (ap-south-1) is a hard constraint once real candidate data is collected, per the Digital Personal Data Protection Act, 2023 (ADR-028).</w:t>
      </w:r>
    </w:p>
    <w:p>
      <w:r>
        <w:br w:type="page"/>
      </w:r>
    </w:p>
    <w:p>
      <w:pPr>
        <w:pStyle w:val="Heading1"/>
      </w:pPr>
      <w:r>
        <w:rPr>
          <w:color w:val="0F6E84"/>
        </w:rPr>
        <w:t xml:space="preserve">9  </w:t>
      </w:r>
      <w:r>
        <w:t>Where Future Functionality Should Sit</w:t>
      </w:r>
    </w:p>
    <w:p>
      <w:r>
        <w:rPr>
          <w:b w:val="0"/>
          <w:i w:val="0"/>
        </w:rPr>
        <w:t>Every item below is placed against the module and adapter boundaries already in the tree (Section 3), so each is an addition to the architecture rather than a reshaping of it. This is the technical counterpart to the backlog framed by business value in the Business Requirements Document (§14) and by product priority in the Product Requirements Document (§8).</w:t>
      </w:r>
    </w:p>
    <w:p>
      <w:pPr>
        <w:pStyle w:val="Heading2"/>
      </w:pPr>
      <w:r>
        <w:t>9.1  External Data Collection Points — One Shape, Reused</w:t>
      </w:r>
    </w:p>
    <w:p>
      <w:r>
        <w:rPr>
          <w:b w:val="0"/>
          <w:i w:val="0"/>
        </w:rPr>
        <w:t>Every external integration below arrives at the platform the same structural way: an external event reaches a new adapter, which calls the existing service layer, which writes to the same tables self-serve publishing already writes to. This is not a convenient coincidence — it is ADR-026’s rule (seeded, self-serve and integrated inventory must be indistinguishable downstream) applied one layer further out.</w:t>
      </w:r>
    </w:p>
    <w:p>
      <w:pPr>
        <w:jc w:val="center"/>
      </w:pPr>
      <w:r>
        <w:drawing>
          <wp:inline xmlns:a="http://schemas.openxmlformats.org/drawingml/2006/main" xmlns:pic="http://schemas.openxmlformats.org/drawingml/2006/picture">
            <wp:extent cx="5760720" cy="3565760"/>
            <wp:docPr id="6" name="Picture 6"/>
            <wp:cNvGraphicFramePr>
              <a:graphicFrameLocks noChangeAspect="1"/>
            </wp:cNvGraphicFramePr>
            <a:graphic>
              <a:graphicData uri="http://schemas.openxmlformats.org/drawingml/2006/picture">
                <pic:pic>
                  <pic:nvPicPr>
                    <pic:cNvPr id="0" name="hld_6_hooks.png"/>
                    <pic:cNvPicPr/>
                  </pic:nvPicPr>
                  <pic:blipFill>
                    <a:blip r:embed="rId16"/>
                    <a:stretch>
                      <a:fillRect/>
                    </a:stretch>
                  </pic:blipFill>
                  <pic:spPr>
                    <a:xfrm>
                      <a:off x="0" y="0"/>
                      <a:ext cx="5760720" cy="3565760"/>
                    </a:xfrm>
                    <a:prstGeom prst="rect"/>
                  </pic:spPr>
                </pic:pic>
              </a:graphicData>
            </a:graphic>
          </wp:inline>
        </w:drawing>
      </w:r>
    </w:p>
    <w:p>
      <w:pPr>
        <w:pStyle w:val="Caption2"/>
        <w:jc w:val="center"/>
      </w:pPr>
      <w:r>
        <w:t>Figure 6. Four external collection points, one shape.</w:t>
      </w:r>
    </w:p>
    <w:p>
      <w:pPr>
        <w:spacing w:after="40"/>
      </w:pPr>
    </w:p>
    <w:p>
      <w:pPr>
        <w:pStyle w:val="Heading2"/>
      </w:pPr>
      <w:r>
        <w:t>9.2  Semantic Similarity in Matching — an Additive Scoring Component</w:t>
      </w:r>
    </w:p>
    <w:p>
      <w:r>
        <w:rPr>
          <w:b w:val="0"/>
          <w:i w:val="0"/>
        </w:rPr>
        <w:t>This is the clearest case of a hook the architecture already has a slot for: pgvector is enabled today with nothing stored in it (Section 4.2), and ADR-013/031 already fix the embedding model and dimension. The addition is purely additive to the existing weighted sum — it does not touch the deterministic components already shipped, and stays bounded so it can refine a ranking but never override a hard skill requirement (ADR-036).</w:t>
      </w:r>
    </w:p>
    <w:p>
      <w:pPr>
        <w:jc w:val="center"/>
      </w:pPr>
      <w:r>
        <w:drawing>
          <wp:inline xmlns:a="http://schemas.openxmlformats.org/drawingml/2006/main" xmlns:pic="http://schemas.openxmlformats.org/drawingml/2006/picture">
            <wp:extent cx="5760720" cy="4265210"/>
            <wp:docPr id="7" name="Picture 7"/>
            <wp:cNvGraphicFramePr>
              <a:graphicFrameLocks noChangeAspect="1"/>
            </wp:cNvGraphicFramePr>
            <a:graphic>
              <a:graphicData uri="http://schemas.openxmlformats.org/drawingml/2006/picture">
                <pic:pic>
                  <pic:nvPicPr>
                    <pic:cNvPr id="0" name="hld_7_semantic.png"/>
                    <pic:cNvPicPr/>
                  </pic:nvPicPr>
                  <pic:blipFill>
                    <a:blip r:embed="rId17"/>
                    <a:stretch>
                      <a:fillRect/>
                    </a:stretch>
                  </pic:blipFill>
                  <pic:spPr>
                    <a:xfrm>
                      <a:off x="0" y="0"/>
                      <a:ext cx="5760720" cy="4265210"/>
                    </a:xfrm>
                    <a:prstGeom prst="rect"/>
                  </pic:spPr>
                </pic:pic>
              </a:graphicData>
            </a:graphic>
          </wp:inline>
        </w:drawing>
      </w:r>
    </w:p>
    <w:p>
      <w:pPr>
        <w:pStyle w:val="Caption2"/>
        <w:jc w:val="center"/>
      </w:pPr>
      <w:r>
        <w:t>Figure 7. A new scoring term, computed at write time by a worker task, never inside the scoring function itself and never inside a request.</w:t>
      </w:r>
    </w:p>
    <w:p>
      <w:pPr>
        <w:spacing w:after="40"/>
      </w:pPr>
    </w:p>
    <w:p>
      <w:pPr>
        <w:pStyle w:val="Heading2"/>
      </w:pPr>
      <w:r>
        <w:t>9.3  Placement Summary by Capability</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304"/>
            <w:shd w:val="clear" w:color="auto" w:fill="0B2E4E"/>
            <w:tcMar>
              <w:top w:w="60" w:type="dxa"/>
              <w:bottom w:w="60" w:type="dxa"/>
              <w:left w:w="100" w:type="dxa"/>
              <w:right w:w="100" w:type="dxa"/>
            </w:tcMar>
            <w:vAlign w:val="center"/>
          </w:tcPr>
          <w:p>
            <w:r/>
            <w:r>
              <w:rPr>
                <w:b/>
                <w:color w:val="FFFFFF"/>
                <w:sz w:val="19"/>
              </w:rPr>
              <w:t>Capability</w:t>
            </w:r>
          </w:p>
        </w:tc>
        <w:tc>
          <w:tcPr>
            <w:tcW w:type="dxa" w:w="4608"/>
            <w:shd w:val="clear" w:color="auto" w:fill="0B2E4E"/>
            <w:tcMar>
              <w:top w:w="60" w:type="dxa"/>
              <w:bottom w:w="60" w:type="dxa"/>
              <w:left w:w="100" w:type="dxa"/>
              <w:right w:w="100" w:type="dxa"/>
            </w:tcMar>
            <w:vAlign w:val="center"/>
          </w:tcPr>
          <w:p>
            <w:r/>
            <w:r>
              <w:rPr>
                <w:b/>
                <w:color w:val="FFFFFF"/>
                <w:sz w:val="19"/>
              </w:rPr>
              <w:t>Where It Sits</w:t>
            </w:r>
          </w:p>
        </w:tc>
        <w:tc>
          <w:tcPr>
            <w:tcW w:type="dxa" w:w="1728"/>
            <w:shd w:val="clear" w:color="auto" w:fill="0B2E4E"/>
            <w:tcMar>
              <w:top w:w="60" w:type="dxa"/>
              <w:bottom w:w="60" w:type="dxa"/>
              <w:left w:w="100" w:type="dxa"/>
              <w:right w:w="100" w:type="dxa"/>
            </w:tcMar>
            <w:vAlign w:val="center"/>
          </w:tcPr>
          <w:p>
            <w:r/>
            <w:r>
              <w:rPr>
                <w:b/>
                <w:color w:val="FFFFFF"/>
                <w:sz w:val="19"/>
              </w:rPr>
              <w:t>New or Existing?</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Configurable match weighting</w:t>
            </w:r>
          </w:p>
        </w:tc>
        <w:tc>
          <w:tcPr>
            <w:tcW w:type="dxa" w:w="4608"/>
            <w:shd w:val="clear" w:color="auto" w:fill="F2F4F6"/>
            <w:tcMar>
              <w:top w:w="60" w:type="dxa"/>
              <w:bottom w:w="60" w:type="dxa"/>
              <w:left w:w="100" w:type="dxa"/>
              <w:right w:w="100" w:type="dxa"/>
            </w:tcMar>
          </w:tcPr>
          <w:p>
            <w:pPr>
              <w:spacing w:before="0" w:after="0"/>
            </w:pPr>
            <w:r/>
            <w:r>
              <w:rPr>
                <w:color w:val="3C4752"/>
                <w:sz w:val="19"/>
              </w:rPr>
              <w:t>core/config.py gains a weights object; scoring.py accepts it as a parameter instead of reading module constants.</w:t>
            </w:r>
          </w:p>
        </w:tc>
        <w:tc>
          <w:tcPr>
            <w:tcW w:type="dxa" w:w="1728"/>
            <w:shd w:val="clear" w:color="auto" w:fill="F2F4F6"/>
            <w:tcMar>
              <w:top w:w="60" w:type="dxa"/>
              <w:bottom w:w="60" w:type="dxa"/>
              <w:left w:w="100" w:type="dxa"/>
              <w:right w:w="100" w:type="dxa"/>
            </w:tcMar>
          </w:tcPr>
          <w:p>
            <w:pPr>
              <w:spacing w:before="0" w:after="0"/>
            </w:pPr>
            <w:r/>
            <w:r>
              <w:rPr>
                <w:color w:val="3C4752"/>
                <w:sz w:val="19"/>
              </w:rPr>
              <w:t>Existing module, new parameter</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Recommendation “not interested” signal</w:t>
            </w:r>
          </w:p>
        </w:tc>
        <w:tc>
          <w:tcPr>
            <w:tcW w:type="dxa" w:w="4608"/>
            <w:shd w:val="clear" w:color="auto" w:fill="FFFFFF"/>
            <w:tcMar>
              <w:top w:w="60" w:type="dxa"/>
              <w:bottom w:w="60" w:type="dxa"/>
              <w:left w:w="100" w:type="dxa"/>
              <w:right w:w="100" w:type="dxa"/>
            </w:tcMar>
          </w:tcPr>
          <w:p>
            <w:pPr>
              <w:spacing w:before="0" w:after="0"/>
            </w:pPr>
            <w:r/>
            <w:r>
              <w:rPr>
                <w:color w:val="3C4752"/>
                <w:sz w:val="19"/>
              </w:rPr>
              <w:t>analytics/ — one new entry in EVENT_NAMES and the CHECK constraint that must be widened alongside it.</w:t>
            </w:r>
          </w:p>
        </w:tc>
        <w:tc>
          <w:tcPr>
            <w:tcW w:type="dxa" w:w="1728"/>
            <w:shd w:val="clear" w:color="auto" w:fill="FFFFFF"/>
            <w:tcMar>
              <w:top w:w="60" w:type="dxa"/>
              <w:bottom w:w="60" w:type="dxa"/>
              <w:left w:w="100" w:type="dxa"/>
              <w:right w:w="100" w:type="dxa"/>
            </w:tcMar>
          </w:tcPr>
          <w:p>
            <w:pPr>
              <w:spacing w:before="0" w:after="0"/>
            </w:pPr>
            <w:r/>
            <w:r>
              <w:rPr>
                <w:color w:val="3C4752"/>
                <w:sz w:val="19"/>
              </w:rPr>
              <w:t>Existing module, additive</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Payment / monetisation</w:t>
            </w:r>
          </w:p>
        </w:tc>
        <w:tc>
          <w:tcPr>
            <w:tcW w:type="dxa" w:w="4608"/>
            <w:shd w:val="clear" w:color="auto" w:fill="F2F4F6"/>
            <w:tcMar>
              <w:top w:w="60" w:type="dxa"/>
              <w:bottom w:w="60" w:type="dxa"/>
              <w:left w:w="100" w:type="dxa"/>
              <w:right w:w="100" w:type="dxa"/>
            </w:tcMar>
          </w:tcPr>
          <w:p>
            <w:pPr>
              <w:spacing w:before="0" w:after="0"/>
            </w:pPr>
            <w:r/>
            <w:r>
              <w:rPr>
                <w:color w:val="3C4752"/>
                <w:sz w:val="19"/>
              </w:rPr>
              <w:t>A new adapters/payments/ port, plus a new module (e.g. billing/) for orders, entitlements and invoices — marketplace/ gains no payment logic itself.</w:t>
            </w:r>
          </w:p>
        </w:tc>
        <w:tc>
          <w:tcPr>
            <w:tcW w:type="dxa" w:w="1728"/>
            <w:shd w:val="clear" w:color="auto" w:fill="F2F4F6"/>
            <w:tcMar>
              <w:top w:w="60" w:type="dxa"/>
              <w:bottom w:w="60" w:type="dxa"/>
              <w:left w:w="100" w:type="dxa"/>
              <w:right w:w="100" w:type="dxa"/>
            </w:tcMar>
          </w:tcPr>
          <w:p>
            <w:pPr>
              <w:spacing w:before="0" w:after="0"/>
            </w:pPr>
            <w:r/>
            <w:r>
              <w:rPr>
                <w:color w:val="3C4752"/>
                <w:sz w:val="19"/>
              </w:rPr>
              <w:t>New adapter, new module</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Assessment-provider integration</w:t>
            </w:r>
          </w:p>
        </w:tc>
        <w:tc>
          <w:tcPr>
            <w:tcW w:type="dxa" w:w="4608"/>
            <w:shd w:val="clear" w:color="auto" w:fill="FFFFFF"/>
            <w:tcMar>
              <w:top w:w="60" w:type="dxa"/>
              <w:bottom w:w="60" w:type="dxa"/>
              <w:left w:w="100" w:type="dxa"/>
              <w:right w:w="100" w:type="dxa"/>
            </w:tcMar>
          </w:tcPr>
          <w:p>
            <w:pPr>
              <w:spacing w:before="0" w:after="0"/>
            </w:pPr>
            <w:r/>
            <w:r>
              <w:rPr>
                <w:color w:val="3C4752"/>
                <w:sz w:val="19"/>
              </w:rPr>
              <w:t>A new adapters/assessment/ port; the result lands through the existing profile_service write path, tagged source=‘assessed’ or ‘certified’ — no change to matching/, which already trusts those tiers.</w:t>
            </w:r>
          </w:p>
        </w:tc>
        <w:tc>
          <w:tcPr>
            <w:tcW w:type="dxa" w:w="1728"/>
            <w:shd w:val="clear" w:color="auto" w:fill="FFFFFF"/>
            <w:tcMar>
              <w:top w:w="60" w:type="dxa"/>
              <w:bottom w:w="60" w:type="dxa"/>
              <w:left w:w="100" w:type="dxa"/>
              <w:right w:w="100" w:type="dxa"/>
            </w:tcMar>
          </w:tcPr>
          <w:p>
            <w:pPr>
              <w:spacing w:before="0" w:after="0"/>
            </w:pPr>
            <w:r/>
            <w:r>
              <w:rPr>
                <w:color w:val="3C4752"/>
                <w:sz w:val="19"/>
              </w:rPr>
              <w:t>New adapter, existing write path</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Résumé upload and extraction</w:t>
            </w:r>
          </w:p>
        </w:tc>
        <w:tc>
          <w:tcPr>
            <w:tcW w:type="dxa" w:w="4608"/>
            <w:shd w:val="clear" w:color="auto" w:fill="F2F4F6"/>
            <w:tcMar>
              <w:top w:w="60" w:type="dxa"/>
              <w:bottom w:w="60" w:type="dxa"/>
              <w:left w:w="100" w:type="dxa"/>
              <w:right w:w="100" w:type="dxa"/>
            </w:tcMar>
          </w:tcPr>
          <w:p>
            <w:pPr>
              <w:spacing w:before="0" w:after="0"/>
            </w:pPr>
            <w:r/>
            <w:r>
              <w:rPr>
                <w:color w:val="3C4752"/>
                <w:sz w:val="19"/>
              </w:rPr>
              <w:t>Object storage (S3) behind the ADR-023 encryption path, a new adapters/llm/ port for extraction, writing through the same profile service path tagged source=‘inferred’.</w:t>
            </w:r>
          </w:p>
        </w:tc>
        <w:tc>
          <w:tcPr>
            <w:tcW w:type="dxa" w:w="1728"/>
            <w:shd w:val="clear" w:color="auto" w:fill="F2F4F6"/>
            <w:tcMar>
              <w:top w:w="60" w:type="dxa"/>
              <w:bottom w:w="60" w:type="dxa"/>
              <w:left w:w="100" w:type="dxa"/>
              <w:right w:w="100" w:type="dxa"/>
            </w:tcMar>
          </w:tcPr>
          <w:p>
            <w:pPr>
              <w:spacing w:before="0" w:after="0"/>
            </w:pPr>
            <w:r/>
            <w:r>
              <w:rPr>
                <w:color w:val="3C4752"/>
                <w:sz w:val="19"/>
              </w:rPr>
              <w:t>New adapter and storage, existing write path</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Semantic similarity</w:t>
            </w:r>
          </w:p>
        </w:tc>
        <w:tc>
          <w:tcPr>
            <w:tcW w:type="dxa" w:w="4608"/>
            <w:shd w:val="clear" w:color="auto" w:fill="FFFFFF"/>
            <w:tcMar>
              <w:top w:w="60" w:type="dxa"/>
              <w:bottom w:w="60" w:type="dxa"/>
              <w:left w:w="100" w:type="dxa"/>
              <w:right w:w="100" w:type="dxa"/>
            </w:tcMar>
          </w:tcPr>
          <w:p>
            <w:pPr>
              <w:spacing w:before="0" w:after="0"/>
            </w:pPr>
            <w:r/>
            <w:r>
              <w:rPr>
                <w:color w:val="3C4752"/>
                <w:sz w:val="19"/>
              </w:rPr>
              <w:t>See Section 9.2.</w:t>
            </w:r>
          </w:p>
        </w:tc>
        <w:tc>
          <w:tcPr>
            <w:tcW w:type="dxa" w:w="1728"/>
            <w:shd w:val="clear" w:color="auto" w:fill="FFFFFF"/>
            <w:tcMar>
              <w:top w:w="60" w:type="dxa"/>
              <w:bottom w:w="60" w:type="dxa"/>
              <w:left w:w="100" w:type="dxa"/>
              <w:right w:w="100" w:type="dxa"/>
            </w:tcMar>
          </w:tcPr>
          <w:p>
            <w:pPr>
              <w:spacing w:before="0" w:after="0"/>
            </w:pPr>
            <w:r/>
            <w:r>
              <w:rPr>
                <w:color w:val="3C4752"/>
                <w:sz w:val="19"/>
              </w:rPr>
              <w:t>New adapter (embeddings/), new columns, additive scoring term</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Skill-relationship graph / career paths</w:t>
            </w:r>
          </w:p>
        </w:tc>
        <w:tc>
          <w:tcPr>
            <w:tcW w:type="dxa" w:w="4608"/>
            <w:shd w:val="clear" w:color="auto" w:fill="F2F4F6"/>
            <w:tcMar>
              <w:top w:w="60" w:type="dxa"/>
              <w:bottom w:w="60" w:type="dxa"/>
              <w:left w:w="100" w:type="dxa"/>
              <w:right w:w="100" w:type="dxa"/>
            </w:tcMar>
          </w:tcPr>
          <w:p>
            <w:pPr>
              <w:spacing w:before="0" w:after="0"/>
            </w:pPr>
            <w:r/>
            <w:r>
              <w:rPr>
                <w:color w:val="3C4752"/>
                <w:sz w:val="19"/>
              </w:rPr>
              <w:t>A new career_paths/ module, already reserved in the architecture (ADR-008) with no code. Depends on a new SkillRelation table under skills/.</w:t>
            </w:r>
          </w:p>
        </w:tc>
        <w:tc>
          <w:tcPr>
            <w:tcW w:type="dxa" w:w="1728"/>
            <w:shd w:val="clear" w:color="auto" w:fill="F2F4F6"/>
            <w:tcMar>
              <w:top w:w="60" w:type="dxa"/>
              <w:bottom w:w="60" w:type="dxa"/>
              <w:left w:w="100" w:type="dxa"/>
              <w:right w:w="100" w:type="dxa"/>
            </w:tcMar>
          </w:tcPr>
          <w:p>
            <w:pPr>
              <w:spacing w:before="0" w:after="0"/>
            </w:pPr>
            <w:r/>
            <w:r>
              <w:rPr>
                <w:color w:val="3C4752"/>
                <w:sz w:val="19"/>
              </w:rPr>
              <w:t>New module</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Gig / short-term work</w:t>
            </w:r>
          </w:p>
        </w:tc>
        <w:tc>
          <w:tcPr>
            <w:tcW w:type="dxa" w:w="4608"/>
            <w:shd w:val="clear" w:color="auto" w:fill="FFFFFF"/>
            <w:tcMar>
              <w:top w:w="60" w:type="dxa"/>
              <w:bottom w:w="60" w:type="dxa"/>
              <w:left w:w="100" w:type="dxa"/>
              <w:right w:w="100" w:type="dxa"/>
            </w:tcMar>
          </w:tcPr>
          <w:p>
            <w:pPr>
              <w:spacing w:before="0" w:after="0"/>
            </w:pPr>
            <w:r/>
            <w:r>
              <w:rPr>
                <w:color w:val="3C4752"/>
                <w:sz w:val="19"/>
              </w:rPr>
              <w:t>A new, sibling module at the same level as marketplace/ — explicitly not an extension of Job, which models a permanent vacancy. Reuses geography/ and skills/.</w:t>
            </w:r>
          </w:p>
        </w:tc>
        <w:tc>
          <w:tcPr>
            <w:tcW w:type="dxa" w:w="1728"/>
            <w:shd w:val="clear" w:color="auto" w:fill="FFFFFF"/>
            <w:tcMar>
              <w:top w:w="60" w:type="dxa"/>
              <w:bottom w:w="60" w:type="dxa"/>
              <w:left w:w="100" w:type="dxa"/>
              <w:right w:w="100" w:type="dxa"/>
            </w:tcMar>
          </w:tcPr>
          <w:p>
            <w:pPr>
              <w:spacing w:before="0" w:after="0"/>
            </w:pPr>
            <w:r/>
            <w:r>
              <w:rPr>
                <w:color w:val="3C4752"/>
                <w:sz w:val="19"/>
              </w:rPr>
              <w:t>New module</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Government agency bulk enrolment</w:t>
            </w:r>
          </w:p>
        </w:tc>
        <w:tc>
          <w:tcPr>
            <w:tcW w:type="dxa" w:w="4608"/>
            <w:shd w:val="clear" w:color="auto" w:fill="F2F4F6"/>
            <w:tcMar>
              <w:top w:w="60" w:type="dxa"/>
              <w:bottom w:w="60" w:type="dxa"/>
              <w:left w:w="100" w:type="dxa"/>
              <w:right w:w="100" w:type="dxa"/>
            </w:tcMar>
          </w:tcPr>
          <w:p>
            <w:pPr>
              <w:spacing w:before="0" w:after="0"/>
            </w:pPr>
            <w:r/>
            <w:r>
              <w:rPr>
                <w:color w:val="3C4752"/>
                <w:sz w:val="19"/>
              </w:rPr>
              <w:t>A new bulk-intake route in identity/, constructing accounts the same way scripts/seed_candidates.py already does server-side.</w:t>
            </w:r>
          </w:p>
        </w:tc>
        <w:tc>
          <w:tcPr>
            <w:tcW w:type="dxa" w:w="1728"/>
            <w:shd w:val="clear" w:color="auto" w:fill="F2F4F6"/>
            <w:tcMar>
              <w:top w:w="60" w:type="dxa"/>
              <w:bottom w:w="60" w:type="dxa"/>
              <w:left w:w="100" w:type="dxa"/>
              <w:right w:w="100" w:type="dxa"/>
            </w:tcMar>
          </w:tcPr>
          <w:p>
            <w:pPr>
              <w:spacing w:before="0" w:after="0"/>
            </w:pPr>
            <w:r/>
            <w:r>
              <w:rPr>
                <w:color w:val="3C4752"/>
                <w:sz w:val="19"/>
              </w:rPr>
              <w:t>New route, existing pattern</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External system / API-key access</w:t>
            </w:r>
          </w:p>
        </w:tc>
        <w:tc>
          <w:tcPr>
            <w:tcW w:type="dxa" w:w="4608"/>
            <w:shd w:val="clear" w:color="auto" w:fill="FFFFFF"/>
            <w:tcMar>
              <w:top w:w="60" w:type="dxa"/>
              <w:bottom w:w="60" w:type="dxa"/>
              <w:left w:w="100" w:type="dxa"/>
              <w:right w:w="100" w:type="dxa"/>
            </w:tcMar>
          </w:tcPr>
          <w:p>
            <w:pPr>
              <w:spacing w:before="0" w:after="0"/>
            </w:pPr>
            <w:r/>
            <w:r>
              <w:rPr>
                <w:color w:val="3C4752"/>
                <w:sz w:val="19"/>
              </w:rPr>
              <w:t>A new ServiceAccount model in identity/ and a second authentication scheme in core/security.py, alongside JWT rather than replacing it.</w:t>
            </w:r>
          </w:p>
        </w:tc>
        <w:tc>
          <w:tcPr>
            <w:tcW w:type="dxa" w:w="1728"/>
            <w:shd w:val="clear" w:color="auto" w:fill="FFFFFF"/>
            <w:tcMar>
              <w:top w:w="60" w:type="dxa"/>
              <w:bottom w:w="60" w:type="dxa"/>
              <w:left w:w="100" w:type="dxa"/>
              <w:right w:w="100" w:type="dxa"/>
            </w:tcMar>
          </w:tcPr>
          <w:p>
            <w:pPr>
              <w:spacing w:before="0" w:after="0"/>
            </w:pPr>
            <w:r/>
            <w:r>
              <w:rPr>
                <w:color w:val="3C4752"/>
                <w:sz w:val="19"/>
              </w:rPr>
              <w:t>New model, new auth path</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Verification-status notification</w:t>
            </w:r>
          </w:p>
        </w:tc>
        <w:tc>
          <w:tcPr>
            <w:tcW w:type="dxa" w:w="4608"/>
            <w:shd w:val="clear" w:color="auto" w:fill="F2F4F6"/>
            <w:tcMar>
              <w:top w:w="60" w:type="dxa"/>
              <w:bottom w:w="60" w:type="dxa"/>
              <w:left w:w="100" w:type="dxa"/>
              <w:right w:w="100" w:type="dxa"/>
            </w:tcMar>
          </w:tcPr>
          <w:p>
            <w:pPr>
              <w:spacing w:before="0" w:after="0"/>
            </w:pPr>
            <w:r/>
            <w:r>
              <w:rPr>
                <w:color w:val="3C4752"/>
                <w:sz w:val="19"/>
              </w:rPr>
              <w:t>notifications/ already has everything needed — this is one new enqueue call from operations/set_verification, not a new component.</w:t>
            </w:r>
          </w:p>
        </w:tc>
        <w:tc>
          <w:tcPr>
            <w:tcW w:type="dxa" w:w="1728"/>
            <w:shd w:val="clear" w:color="auto" w:fill="F2F4F6"/>
            <w:tcMar>
              <w:top w:w="60" w:type="dxa"/>
              <w:bottom w:w="60" w:type="dxa"/>
              <w:left w:w="100" w:type="dxa"/>
              <w:right w:w="100" w:type="dxa"/>
            </w:tcMar>
          </w:tcPr>
          <w:p>
            <w:pPr>
              <w:spacing w:before="0" w:after="0"/>
            </w:pPr>
            <w:r/>
            <w:r>
              <w:rPr>
                <w:color w:val="3C4752"/>
                <w:sz w:val="19"/>
              </w:rPr>
              <w:t>Existing modules, wiring only</w:t>
            </w:r>
          </w:p>
        </w:tc>
      </w:tr>
    </w:tbl>
    <w:p>
      <w:pPr>
        <w:spacing w:after="80"/>
      </w:pPr>
    </w:p>
    <w:p>
      <w:r>
        <w:br w:type="page"/>
      </w:r>
    </w:p>
    <w:p>
      <w:pPr>
        <w:pStyle w:val="Heading1"/>
      </w:pPr>
      <w:r>
        <w:rPr>
          <w:color w:val="0F6E84"/>
        </w:rPr>
        <w:t xml:space="preserve">10  </w:t>
      </w:r>
      <w:r>
        <w:t>Appendices</w:t>
      </w:r>
    </w:p>
    <w:p>
      <w:pPr>
        <w:pStyle w:val="Heading2"/>
      </w:pPr>
      <w:r>
        <w:t>Appendix A — Technology Stack Summary</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592"/>
            <w:shd w:val="clear" w:color="auto" w:fill="0B2E4E"/>
            <w:tcMar>
              <w:top w:w="60" w:type="dxa"/>
              <w:bottom w:w="60" w:type="dxa"/>
              <w:left w:w="100" w:type="dxa"/>
              <w:right w:w="100" w:type="dxa"/>
            </w:tcMar>
            <w:vAlign w:val="center"/>
          </w:tcPr>
          <w:p>
            <w:r/>
            <w:r>
              <w:rPr>
                <w:b/>
                <w:color w:val="FFFFFF"/>
                <w:sz w:val="19"/>
              </w:rPr>
              <w:t>Layer</w:t>
            </w:r>
          </w:p>
        </w:tc>
        <w:tc>
          <w:tcPr>
            <w:tcW w:type="dxa" w:w="4320"/>
            <w:shd w:val="clear" w:color="auto" w:fill="0B2E4E"/>
            <w:tcMar>
              <w:top w:w="60" w:type="dxa"/>
              <w:bottom w:w="60" w:type="dxa"/>
              <w:left w:w="100" w:type="dxa"/>
              <w:right w:w="100" w:type="dxa"/>
            </w:tcMar>
            <w:vAlign w:val="center"/>
          </w:tcPr>
          <w:p>
            <w:r/>
            <w:r>
              <w:rPr>
                <w:b/>
                <w:color w:val="FFFFFF"/>
                <w:sz w:val="19"/>
              </w:rPr>
              <w:t>Choice</w:t>
            </w:r>
          </w:p>
        </w:tc>
        <w:tc>
          <w:tcPr>
            <w:tcW w:type="dxa" w:w="1728"/>
            <w:shd w:val="clear" w:color="auto" w:fill="0B2E4E"/>
            <w:tcMar>
              <w:top w:w="60" w:type="dxa"/>
              <w:bottom w:w="60" w:type="dxa"/>
              <w:left w:w="100" w:type="dxa"/>
              <w:right w:w="100" w:type="dxa"/>
            </w:tcMar>
            <w:vAlign w:val="center"/>
          </w:tcPr>
          <w:p>
            <w:r/>
            <w:r>
              <w:rPr>
                <w:b/>
                <w:color w:val="FFFFFF"/>
                <w:sz w:val="19"/>
              </w:rPr>
              <w:t>ADR</w:t>
            </w:r>
          </w:p>
        </w:tc>
      </w:tr>
      <w:tr>
        <w:tc>
          <w:tcPr>
            <w:tcW w:type="dxa" w:w="2592"/>
            <w:shd w:val="clear" w:color="auto" w:fill="F2F4F6"/>
            <w:tcMar>
              <w:top w:w="60" w:type="dxa"/>
              <w:bottom w:w="60" w:type="dxa"/>
              <w:left w:w="100" w:type="dxa"/>
              <w:right w:w="100" w:type="dxa"/>
            </w:tcMar>
          </w:tcPr>
          <w:p>
            <w:pPr>
              <w:spacing w:before="0" w:after="0"/>
            </w:pPr>
            <w:r/>
            <w:r>
              <w:rPr>
                <w:color w:val="3C4752"/>
                <w:sz w:val="19"/>
              </w:rPr>
              <w:t>Backend language / framework</w:t>
            </w:r>
          </w:p>
        </w:tc>
        <w:tc>
          <w:tcPr>
            <w:tcW w:type="dxa" w:w="4320"/>
            <w:shd w:val="clear" w:color="auto" w:fill="F2F4F6"/>
            <w:tcMar>
              <w:top w:w="60" w:type="dxa"/>
              <w:bottom w:w="60" w:type="dxa"/>
              <w:left w:w="100" w:type="dxa"/>
              <w:right w:w="100" w:type="dxa"/>
            </w:tcMar>
          </w:tcPr>
          <w:p>
            <w:pPr>
              <w:spacing w:before="0" w:after="0"/>
            </w:pPr>
            <w:r/>
            <w:r>
              <w:rPr>
                <w:color w:val="3C4752"/>
                <w:sz w:val="19"/>
              </w:rPr>
              <w:t>Python 3.12, FastAPI, fully async</w:t>
            </w:r>
          </w:p>
        </w:tc>
        <w:tc>
          <w:tcPr>
            <w:tcW w:type="dxa" w:w="1728"/>
            <w:shd w:val="clear" w:color="auto" w:fill="F2F4F6"/>
            <w:tcMar>
              <w:top w:w="60" w:type="dxa"/>
              <w:bottom w:w="60" w:type="dxa"/>
              <w:left w:w="100" w:type="dxa"/>
              <w:right w:w="100" w:type="dxa"/>
            </w:tcMar>
          </w:tcPr>
          <w:p>
            <w:pPr>
              <w:spacing w:before="0" w:after="0"/>
            </w:pPr>
            <w:r/>
            <w:r>
              <w:rPr>
                <w:color w:val="3C4752"/>
                <w:sz w:val="19"/>
              </w:rPr>
              <w:t>ADR-002</w:t>
            </w:r>
          </w:p>
        </w:tc>
      </w:tr>
      <w:tr>
        <w:tc>
          <w:tcPr>
            <w:tcW w:type="dxa" w:w="2592"/>
            <w:shd w:val="clear" w:color="auto" w:fill="FFFFFF"/>
            <w:tcMar>
              <w:top w:w="60" w:type="dxa"/>
              <w:bottom w:w="60" w:type="dxa"/>
              <w:left w:w="100" w:type="dxa"/>
              <w:right w:w="100" w:type="dxa"/>
            </w:tcMar>
          </w:tcPr>
          <w:p>
            <w:pPr>
              <w:spacing w:before="0" w:after="0"/>
            </w:pPr>
            <w:r/>
            <w:r>
              <w:rPr>
                <w:color w:val="3C4752"/>
                <w:sz w:val="19"/>
              </w:rPr>
              <w:t>Primary database</w:t>
            </w:r>
          </w:p>
        </w:tc>
        <w:tc>
          <w:tcPr>
            <w:tcW w:type="dxa" w:w="4320"/>
            <w:shd w:val="clear" w:color="auto" w:fill="FFFFFF"/>
            <w:tcMar>
              <w:top w:w="60" w:type="dxa"/>
              <w:bottom w:w="60" w:type="dxa"/>
              <w:left w:w="100" w:type="dxa"/>
              <w:right w:w="100" w:type="dxa"/>
            </w:tcMar>
          </w:tcPr>
          <w:p>
            <w:pPr>
              <w:spacing w:before="0" w:after="0"/>
            </w:pPr>
            <w:r/>
            <w:r>
              <w:rPr>
                <w:color w:val="3C4752"/>
                <w:sz w:val="19"/>
              </w:rPr>
              <w:t>PostgreSQL with pgvector</w:t>
            </w:r>
          </w:p>
        </w:tc>
        <w:tc>
          <w:tcPr>
            <w:tcW w:type="dxa" w:w="1728"/>
            <w:shd w:val="clear" w:color="auto" w:fill="FFFFFF"/>
            <w:tcMar>
              <w:top w:w="60" w:type="dxa"/>
              <w:bottom w:w="60" w:type="dxa"/>
              <w:left w:w="100" w:type="dxa"/>
              <w:right w:w="100" w:type="dxa"/>
            </w:tcMar>
          </w:tcPr>
          <w:p>
            <w:pPr>
              <w:spacing w:before="0" w:after="0"/>
            </w:pPr>
            <w:r/>
            <w:r>
              <w:rPr>
                <w:color w:val="3C4752"/>
                <w:sz w:val="19"/>
              </w:rPr>
              <w:t>ADR-003</w:t>
            </w:r>
          </w:p>
        </w:tc>
      </w:tr>
      <w:tr>
        <w:tc>
          <w:tcPr>
            <w:tcW w:type="dxa" w:w="2592"/>
            <w:shd w:val="clear" w:color="auto" w:fill="F2F4F6"/>
            <w:tcMar>
              <w:top w:w="60" w:type="dxa"/>
              <w:bottom w:w="60" w:type="dxa"/>
              <w:left w:w="100" w:type="dxa"/>
              <w:right w:w="100" w:type="dxa"/>
            </w:tcMar>
          </w:tcPr>
          <w:p>
            <w:pPr>
              <w:spacing w:before="0" w:after="0"/>
            </w:pPr>
            <w:r/>
            <w:r>
              <w:rPr>
                <w:color w:val="3C4752"/>
                <w:sz w:val="19"/>
              </w:rPr>
              <w:t>NSQF source of record</w:t>
            </w:r>
          </w:p>
        </w:tc>
        <w:tc>
          <w:tcPr>
            <w:tcW w:type="dxa" w:w="4320"/>
            <w:shd w:val="clear" w:color="auto" w:fill="F2F4F6"/>
            <w:tcMar>
              <w:top w:w="60" w:type="dxa"/>
              <w:bottom w:w="60" w:type="dxa"/>
              <w:left w:w="100" w:type="dxa"/>
              <w:right w:w="100" w:type="dxa"/>
            </w:tcMar>
          </w:tcPr>
          <w:p>
            <w:pPr>
              <w:spacing w:before="0" w:after="0"/>
            </w:pPr>
            <w:r/>
            <w:r>
              <w:rPr>
                <w:color w:val="3C4752"/>
                <w:sz w:val="19"/>
              </w:rPr>
              <w:t>MongoDB, offline import only</w:t>
            </w:r>
          </w:p>
        </w:tc>
        <w:tc>
          <w:tcPr>
            <w:tcW w:type="dxa" w:w="1728"/>
            <w:shd w:val="clear" w:color="auto" w:fill="F2F4F6"/>
            <w:tcMar>
              <w:top w:w="60" w:type="dxa"/>
              <w:bottom w:w="60" w:type="dxa"/>
              <w:left w:w="100" w:type="dxa"/>
              <w:right w:w="100" w:type="dxa"/>
            </w:tcMar>
          </w:tcPr>
          <w:p>
            <w:pPr>
              <w:spacing w:before="0" w:after="0"/>
            </w:pPr>
            <w:r/>
            <w:r>
              <w:rPr>
                <w:color w:val="3C4752"/>
                <w:sz w:val="19"/>
              </w:rPr>
              <w:t>ADR-034</w:t>
            </w:r>
          </w:p>
        </w:tc>
      </w:tr>
      <w:tr>
        <w:tc>
          <w:tcPr>
            <w:tcW w:type="dxa" w:w="2592"/>
            <w:shd w:val="clear" w:color="auto" w:fill="FFFFFF"/>
            <w:tcMar>
              <w:top w:w="60" w:type="dxa"/>
              <w:bottom w:w="60" w:type="dxa"/>
              <w:left w:w="100" w:type="dxa"/>
              <w:right w:w="100" w:type="dxa"/>
            </w:tcMar>
          </w:tcPr>
          <w:p>
            <w:pPr>
              <w:spacing w:before="0" w:after="0"/>
            </w:pPr>
            <w:r/>
            <w:r>
              <w:rPr>
                <w:color w:val="3C4752"/>
                <w:sz w:val="19"/>
              </w:rPr>
              <w:t>Async task runner</w:t>
            </w:r>
          </w:p>
        </w:tc>
        <w:tc>
          <w:tcPr>
            <w:tcW w:type="dxa" w:w="4320"/>
            <w:shd w:val="clear" w:color="auto" w:fill="FFFFFF"/>
            <w:tcMar>
              <w:top w:w="60" w:type="dxa"/>
              <w:bottom w:w="60" w:type="dxa"/>
              <w:left w:w="100" w:type="dxa"/>
              <w:right w:w="100" w:type="dxa"/>
            </w:tcMar>
          </w:tcPr>
          <w:p>
            <w:pPr>
              <w:spacing w:before="0" w:after="0"/>
            </w:pPr>
            <w:r/>
            <w:r>
              <w:rPr>
                <w:color w:val="3C4752"/>
                <w:sz w:val="19"/>
              </w:rPr>
              <w:t>ARQ over Redis (not Celery)</w:t>
            </w:r>
          </w:p>
        </w:tc>
        <w:tc>
          <w:tcPr>
            <w:tcW w:type="dxa" w:w="1728"/>
            <w:shd w:val="clear" w:color="auto" w:fill="FFFFFF"/>
            <w:tcMar>
              <w:top w:w="60" w:type="dxa"/>
              <w:bottom w:w="60" w:type="dxa"/>
              <w:left w:w="100" w:type="dxa"/>
              <w:right w:w="100" w:type="dxa"/>
            </w:tcMar>
          </w:tcPr>
          <w:p>
            <w:pPr>
              <w:spacing w:before="0" w:after="0"/>
            </w:pPr>
            <w:r/>
            <w:r>
              <w:rPr>
                <w:color w:val="3C4752"/>
                <w:sz w:val="19"/>
              </w:rPr>
              <w:t>ADR-027, amends ADR-006</w:t>
            </w:r>
          </w:p>
        </w:tc>
      </w:tr>
      <w:tr>
        <w:tc>
          <w:tcPr>
            <w:tcW w:type="dxa" w:w="2592"/>
            <w:shd w:val="clear" w:color="auto" w:fill="F2F4F6"/>
            <w:tcMar>
              <w:top w:w="60" w:type="dxa"/>
              <w:bottom w:w="60" w:type="dxa"/>
              <w:left w:w="100" w:type="dxa"/>
              <w:right w:w="100" w:type="dxa"/>
            </w:tcMar>
          </w:tcPr>
          <w:p>
            <w:pPr>
              <w:spacing w:before="0" w:after="0"/>
            </w:pPr>
            <w:r/>
            <w:r>
              <w:rPr>
                <w:color w:val="3C4752"/>
                <w:sz w:val="19"/>
              </w:rPr>
              <w:t>Cache</w:t>
            </w:r>
          </w:p>
        </w:tc>
        <w:tc>
          <w:tcPr>
            <w:tcW w:type="dxa" w:w="4320"/>
            <w:shd w:val="clear" w:color="auto" w:fill="F2F4F6"/>
            <w:tcMar>
              <w:top w:w="60" w:type="dxa"/>
              <w:bottom w:w="60" w:type="dxa"/>
              <w:left w:w="100" w:type="dxa"/>
              <w:right w:w="100" w:type="dxa"/>
            </w:tcMar>
          </w:tcPr>
          <w:p>
            <w:pPr>
              <w:spacing w:before="0" w:after="0"/>
            </w:pPr>
            <w:r/>
            <w:r>
              <w:rPr>
                <w:color w:val="3C4752"/>
                <w:sz w:val="19"/>
              </w:rPr>
              <w:t>Redis</w:t>
            </w:r>
          </w:p>
        </w:tc>
        <w:tc>
          <w:tcPr>
            <w:tcW w:type="dxa" w:w="1728"/>
            <w:shd w:val="clear" w:color="auto" w:fill="F2F4F6"/>
            <w:tcMar>
              <w:top w:w="60" w:type="dxa"/>
              <w:bottom w:w="60" w:type="dxa"/>
              <w:left w:w="100" w:type="dxa"/>
              <w:right w:w="100" w:type="dxa"/>
            </w:tcMar>
          </w:tcPr>
          <w:p>
            <w:pPr>
              <w:spacing w:before="0" w:after="0"/>
            </w:pPr>
            <w:r/>
            <w:r>
              <w:rPr>
                <w:color w:val="3C4752"/>
                <w:sz w:val="19"/>
              </w:rPr>
              <w:t>ADR-020</w:t>
            </w:r>
          </w:p>
        </w:tc>
      </w:tr>
      <w:tr>
        <w:tc>
          <w:tcPr>
            <w:tcW w:type="dxa" w:w="2592"/>
            <w:shd w:val="clear" w:color="auto" w:fill="FFFFFF"/>
            <w:tcMar>
              <w:top w:w="60" w:type="dxa"/>
              <w:bottom w:w="60" w:type="dxa"/>
              <w:left w:w="100" w:type="dxa"/>
              <w:right w:w="100" w:type="dxa"/>
            </w:tcMar>
          </w:tcPr>
          <w:p>
            <w:pPr>
              <w:spacing w:before="0" w:after="0"/>
            </w:pPr>
            <w:r/>
            <w:r>
              <w:rPr>
                <w:color w:val="3C4752"/>
                <w:sz w:val="19"/>
              </w:rPr>
              <w:t>Search</w:t>
            </w:r>
          </w:p>
        </w:tc>
        <w:tc>
          <w:tcPr>
            <w:tcW w:type="dxa" w:w="4320"/>
            <w:shd w:val="clear" w:color="auto" w:fill="FFFFFF"/>
            <w:tcMar>
              <w:top w:w="60" w:type="dxa"/>
              <w:bottom w:w="60" w:type="dxa"/>
              <w:left w:w="100" w:type="dxa"/>
              <w:right w:w="100" w:type="dxa"/>
            </w:tcMar>
          </w:tcPr>
          <w:p>
            <w:pPr>
              <w:spacing w:before="0" w:after="0"/>
            </w:pPr>
            <w:r/>
            <w:r>
              <w:rPr>
                <w:color w:val="3C4752"/>
                <w:sz w:val="19"/>
              </w:rPr>
              <w:t>PostgreSQL full-text search (OpenSearch deferred)</w:t>
            </w:r>
          </w:p>
        </w:tc>
        <w:tc>
          <w:tcPr>
            <w:tcW w:type="dxa" w:w="1728"/>
            <w:shd w:val="clear" w:color="auto" w:fill="FFFFFF"/>
            <w:tcMar>
              <w:top w:w="60" w:type="dxa"/>
              <w:bottom w:w="60" w:type="dxa"/>
              <w:left w:w="100" w:type="dxa"/>
              <w:right w:w="100" w:type="dxa"/>
            </w:tcMar>
          </w:tcPr>
          <w:p>
            <w:pPr>
              <w:spacing w:before="0" w:after="0"/>
            </w:pPr>
            <w:r/>
            <w:r>
              <w:rPr>
                <w:color w:val="3C4752"/>
                <w:sz w:val="19"/>
              </w:rPr>
              <w:t>ADR-021</w:t>
            </w:r>
          </w:p>
        </w:tc>
      </w:tr>
      <w:tr>
        <w:tc>
          <w:tcPr>
            <w:tcW w:type="dxa" w:w="2592"/>
            <w:shd w:val="clear" w:color="auto" w:fill="F2F4F6"/>
            <w:tcMar>
              <w:top w:w="60" w:type="dxa"/>
              <w:bottom w:w="60" w:type="dxa"/>
              <w:left w:w="100" w:type="dxa"/>
              <w:right w:w="100" w:type="dxa"/>
            </w:tcMar>
          </w:tcPr>
          <w:p>
            <w:pPr>
              <w:spacing w:before="0" w:after="0"/>
            </w:pPr>
            <w:r/>
            <w:r>
              <w:rPr>
                <w:color w:val="3C4752"/>
                <w:sz w:val="19"/>
              </w:rPr>
              <w:t>Frontend</w:t>
            </w:r>
          </w:p>
        </w:tc>
        <w:tc>
          <w:tcPr>
            <w:tcW w:type="dxa" w:w="4320"/>
            <w:shd w:val="clear" w:color="auto" w:fill="F2F4F6"/>
            <w:tcMar>
              <w:top w:w="60" w:type="dxa"/>
              <w:bottom w:w="60" w:type="dxa"/>
              <w:left w:w="100" w:type="dxa"/>
              <w:right w:w="100" w:type="dxa"/>
            </w:tcMar>
          </w:tcPr>
          <w:p>
            <w:pPr>
              <w:spacing w:before="0" w:after="0"/>
            </w:pPr>
            <w:r/>
            <w:r>
              <w:rPr>
                <w:color w:val="3C4752"/>
                <w:sz w:val="19"/>
              </w:rPr>
              <w:t>Next.js 16 (App Router), React, TypeScript, installable PWA</w:t>
            </w:r>
          </w:p>
        </w:tc>
        <w:tc>
          <w:tcPr>
            <w:tcW w:type="dxa" w:w="1728"/>
            <w:shd w:val="clear" w:color="auto" w:fill="F2F4F6"/>
            <w:tcMar>
              <w:top w:w="60" w:type="dxa"/>
              <w:bottom w:w="60" w:type="dxa"/>
              <w:left w:w="100" w:type="dxa"/>
              <w:right w:w="100" w:type="dxa"/>
            </w:tcMar>
          </w:tcPr>
          <w:p>
            <w:pPr>
              <w:spacing w:before="0" w:after="0"/>
            </w:pPr>
            <w:r/>
            <w:r>
              <w:rPr>
                <w:color w:val="3C4752"/>
                <w:sz w:val="19"/>
              </w:rPr>
              <w:t>ADR-029</w:t>
            </w:r>
          </w:p>
        </w:tc>
      </w:tr>
      <w:tr>
        <w:tc>
          <w:tcPr>
            <w:tcW w:type="dxa" w:w="2592"/>
            <w:shd w:val="clear" w:color="auto" w:fill="FFFFFF"/>
            <w:tcMar>
              <w:top w:w="60" w:type="dxa"/>
              <w:bottom w:w="60" w:type="dxa"/>
              <w:left w:w="100" w:type="dxa"/>
              <w:right w:w="100" w:type="dxa"/>
            </w:tcMar>
          </w:tcPr>
          <w:p>
            <w:pPr>
              <w:spacing w:before="0" w:after="0"/>
            </w:pPr>
            <w:r/>
            <w:r>
              <w:rPr>
                <w:color w:val="3C4752"/>
                <w:sz w:val="19"/>
              </w:rPr>
              <w:t>Logging</w:t>
            </w:r>
          </w:p>
        </w:tc>
        <w:tc>
          <w:tcPr>
            <w:tcW w:type="dxa" w:w="4320"/>
            <w:shd w:val="clear" w:color="auto" w:fill="FFFFFF"/>
            <w:tcMar>
              <w:top w:w="60" w:type="dxa"/>
              <w:bottom w:w="60" w:type="dxa"/>
              <w:left w:w="100" w:type="dxa"/>
              <w:right w:w="100" w:type="dxa"/>
            </w:tcMar>
          </w:tcPr>
          <w:p>
            <w:pPr>
              <w:spacing w:before="0" w:after="0"/>
            </w:pPr>
            <w:r/>
            <w:r>
              <w:rPr>
                <w:color w:val="3C4752"/>
                <w:sz w:val="19"/>
              </w:rPr>
              <w:t>Structured JSON to stdout, no vendor SDK</w:t>
            </w:r>
          </w:p>
        </w:tc>
        <w:tc>
          <w:tcPr>
            <w:tcW w:type="dxa" w:w="1728"/>
            <w:shd w:val="clear" w:color="auto" w:fill="FFFFFF"/>
            <w:tcMar>
              <w:top w:w="60" w:type="dxa"/>
              <w:bottom w:w="60" w:type="dxa"/>
              <w:left w:w="100" w:type="dxa"/>
              <w:right w:w="100" w:type="dxa"/>
            </w:tcMar>
          </w:tcPr>
          <w:p>
            <w:pPr>
              <w:spacing w:before="0" w:after="0"/>
            </w:pPr>
            <w:r/>
            <w:r>
              <w:rPr>
                <w:color w:val="3C4752"/>
                <w:sz w:val="19"/>
              </w:rPr>
              <w:t>ADR-040, supersedes ADR-019 tooling</w:t>
            </w:r>
          </w:p>
        </w:tc>
      </w:tr>
      <w:tr>
        <w:tc>
          <w:tcPr>
            <w:tcW w:type="dxa" w:w="2592"/>
            <w:shd w:val="clear" w:color="auto" w:fill="F2F4F6"/>
            <w:tcMar>
              <w:top w:w="60" w:type="dxa"/>
              <w:bottom w:w="60" w:type="dxa"/>
              <w:left w:w="100" w:type="dxa"/>
              <w:right w:w="100" w:type="dxa"/>
            </w:tcMar>
          </w:tcPr>
          <w:p>
            <w:pPr>
              <w:spacing w:before="0" w:after="0"/>
            </w:pPr>
            <w:r/>
            <w:r>
              <w:rPr>
                <w:color w:val="3C4752"/>
                <w:sz w:val="19"/>
              </w:rPr>
              <w:t>Deployment target (planned)</w:t>
            </w:r>
          </w:p>
        </w:tc>
        <w:tc>
          <w:tcPr>
            <w:tcW w:type="dxa" w:w="4320"/>
            <w:shd w:val="clear" w:color="auto" w:fill="F2F4F6"/>
            <w:tcMar>
              <w:top w:w="60" w:type="dxa"/>
              <w:bottom w:w="60" w:type="dxa"/>
              <w:left w:w="100" w:type="dxa"/>
              <w:right w:w="100" w:type="dxa"/>
            </w:tcMar>
          </w:tcPr>
          <w:p>
            <w:pPr>
              <w:spacing w:before="0" w:after="0"/>
            </w:pPr>
            <w:r/>
            <w:r>
              <w:rPr>
                <w:color w:val="3C4752"/>
                <w:sz w:val="19"/>
              </w:rPr>
              <w:t>AWS ap-south-1, ECS Fargate, Terraform</w:t>
            </w:r>
          </w:p>
        </w:tc>
        <w:tc>
          <w:tcPr>
            <w:tcW w:type="dxa" w:w="1728"/>
            <w:shd w:val="clear" w:color="auto" w:fill="F2F4F6"/>
            <w:tcMar>
              <w:top w:w="60" w:type="dxa"/>
              <w:bottom w:w="60" w:type="dxa"/>
              <w:left w:w="100" w:type="dxa"/>
              <w:right w:w="100" w:type="dxa"/>
            </w:tcMar>
          </w:tcPr>
          <w:p>
            <w:pPr>
              <w:spacing w:before="0" w:after="0"/>
            </w:pPr>
            <w:r/>
            <w:r>
              <w:rPr>
                <w:color w:val="3C4752"/>
                <w:sz w:val="19"/>
              </w:rPr>
              <w:t>ADR-028</w:t>
            </w:r>
          </w:p>
        </w:tc>
      </w:tr>
    </w:tbl>
    <w:p>
      <w:pPr>
        <w:spacing w:after="80"/>
      </w:pPr>
    </w:p>
    <w:p>
      <w:pPr>
        <w:pStyle w:val="Heading2"/>
      </w:pPr>
      <w:r>
        <w:t>Appendix B — Document Set Summary</w:t>
      </w:r>
    </w:p>
    <w:p>
      <w:pPr>
        <w:pStyle w:val="ListNumber"/>
        <w:spacing w:before="0" w:after="60"/>
      </w:pPr>
      <w:r>
        <w:t>Business Requirements Document — why this exists, and what the business needs.</w:t>
      </w:r>
    </w:p>
    <w:p>
      <w:pPr>
        <w:pStyle w:val="ListNumber"/>
        <w:spacing w:before="0" w:after="60"/>
      </w:pPr>
      <w:r>
        <w:t>Product Requirements Document — what is built, for whom, in what order.</w:t>
      </w:r>
    </w:p>
    <w:p>
      <w:pPr>
        <w:pStyle w:val="ListNumber"/>
        <w:spacing w:before="0" w:after="60"/>
      </w:pPr>
      <w:r>
        <w:t>Functional Requirements Specification — exhaustive behaviour and business rules.</w:t>
      </w:r>
    </w:p>
    <w:p>
      <w:pPr>
        <w:pStyle w:val="ListNumber"/>
        <w:spacing w:before="0" w:after="60"/>
      </w:pPr>
      <w:r>
        <w:t>High-Level Design (this document) — the macro architecture and where new capability attaches to it.</w:t>
      </w:r>
    </w:p>
    <w:p>
      <w:pPr>
        <w:pStyle w:val="ListNumber"/>
        <w:spacing w:before="0" w:after="60"/>
      </w:pPr>
      <w:r>
        <w:t>Architecture Decision Record — the reasoning behind every decision named above.</w:t>
      </w:r>
    </w:p>
    <w:p>
      <w:pPr>
        <w:pStyle w:val="Heading2"/>
      </w:pPr>
      <w:r>
        <w:t>Appendix C — Change Control</w:t>
      </w:r>
    </w:p>
    <w:p>
      <w:r>
        <w:rPr>
          <w:b w:val="0"/>
          <w:i w:val="0"/>
        </w:rPr>
        <w:t>This document should be revisited whenever a module boundary changes, a datastore is added or repurposed, or a new external integration is built — at which point the corresponding row in Section 9 moves from a placement recommendation to a description of what actually exists.</w:t>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left"/>
      </w:tabs>
      <w:jc w:val="center"/>
    </w:pPr>
    <w:r>
      <w:rPr>
        <w:color w:val="6B747C"/>
        <w:sz w:val="16"/>
      </w:rPr>
      <w:t>Confidential — Prepared for Business Review and Client Presentation</w:t>
      <w:tab/>
      <w:tab/>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8"/>
      </w:pBdr>
    </w:pPr>
    <w:r/>
    <w:r>
      <w:rPr>
        <w:rFonts w:ascii="Calibri" w:hAnsi="Calibri"/>
        <w:color w:val="6B747C"/>
        <w:sz w:val="17"/>
      </w:rPr>
      <w:t>IISM — High-Level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C47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outlineLvl w:val="0"/>
    </w:pPr>
    <w:rPr>
      <w:rFonts w:asciiTheme="majorHAnsi" w:eastAsiaTheme="majorEastAsia" w:hAnsiTheme="majorHAnsi" w:cstheme="majorBidi" w:ascii="Calibri" w:hAnsi="Calibri"/>
      <w:b/>
      <w:bCs/>
      <w:color w:val="0B2E4E"/>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outlineLvl w:val="1"/>
    </w:pPr>
    <w:rPr>
      <w:rFonts w:asciiTheme="majorHAnsi" w:eastAsiaTheme="majorEastAsia" w:hAnsiTheme="majorHAnsi" w:cstheme="majorBidi" w:ascii="Calibri" w:hAnsi="Calibri"/>
      <w:b/>
      <w:bCs/>
      <w:color w:val="0F6E84"/>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outlineLvl w:val="2"/>
    </w:pPr>
    <w:rPr>
      <w:rFonts w:asciiTheme="majorHAnsi" w:eastAsiaTheme="majorEastAsia" w:hAnsiTheme="majorHAnsi" w:cstheme="majorBidi" w:ascii="Calibri" w:hAnsi="Calibri"/>
      <w:b/>
      <w:bCs/>
      <w:color w:val="0B2E4E"/>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outlineLvl w:val="3"/>
    </w:pPr>
    <w:rPr>
      <w:rFonts w:asciiTheme="majorHAnsi" w:eastAsiaTheme="majorEastAsia" w:hAnsiTheme="majorHAnsi" w:cstheme="majorBidi" w:ascii="Calibri" w:hAnsi="Calibri"/>
      <w:b/>
      <w:bCs/>
      <w:i/>
      <w:iCs/>
      <w:color w:val="3C475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Head">
    <w:name w:val="BRHead"/>
    <w:basedOn w:val="Normal"/>
    <w:pPr>
      <w:spacing w:before="120" w:after="40"/>
    </w:pPr>
    <w:rPr>
      <w:b/>
      <w:color w:val="0F6E84"/>
      <w:sz w:val="20"/>
    </w:rPr>
  </w:style>
  <w:style w:type="character" w:customStyle="1" w:styleId="ReqID">
    <w:name w:val="ReqID"/>
    <w:rPr>
      <w:rFonts w:ascii="Consolas" w:hAnsi="Consolas"/>
      <w:b/>
      <w:color w:val="0B2E4E"/>
      <w:sz w:val="19"/>
    </w:rPr>
  </w:style>
  <w:style w:type="paragraph" w:customStyle="1" w:styleId="Caption2">
    <w:name w:val="Caption2"/>
    <w:basedOn w:val="Normal"/>
    <w:rPr>
      <w:i/>
      <w:color w:val="6B74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