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40"/>
        <w:jc w:val="center"/>
      </w:pPr>
      <w:r>
        <w:rPr>
          <w:rFonts w:ascii="Calibri" w:hAnsi="Calibri"/>
          <w:b/>
          <w:color w:val="0F6E84"/>
          <w:sz w:val="30"/>
        </w:rPr>
        <w:t>INTELLIGENT INTEGRATED SKILL MARKETPLACE</w:t>
      </w:r>
    </w:p>
    <w:p>
      <w:pPr>
        <w:spacing w:before="0" w:after="800"/>
        <w:jc w:val="center"/>
      </w:pPr>
      <w:r>
        <w:rPr>
          <w:i/>
          <w:color w:val="6B747C"/>
          <w:sz w:val="22"/>
        </w:rPr>
        <w:t>evolving toward a Workforce Mobility OS</w:t>
      </w:r>
    </w:p>
    <w:p>
      <w:pPr>
        <w:spacing w:before="0" w:after="320"/>
        <w:jc w:val="center"/>
      </w:pPr>
      <w:r>
        <w:rPr>
          <w:rFonts w:ascii="Calibri" w:hAnsi="Calibri"/>
          <w:b/>
          <w:color w:val="0B2E4E"/>
          <w:sz w:val="60"/>
        </w:rPr>
        <w:t>Product Requirements</w:t>
        <w:br/>
        <w:t>Document</w:t>
      </w:r>
    </w:p>
    <w:p>
      <w:pPr>
        <w:spacing w:before="0" w:after="80"/>
        <w:jc w:val="center"/>
      </w:pPr>
      <w:r>
        <w:rPr>
          <w:b/>
          <w:color w:val="3C4752"/>
          <w:sz w:val="24"/>
        </w:rPr>
        <w:t>Document Version 1.0</w:t>
      </w:r>
    </w:p>
    <w:p>
      <w:pPr>
        <w:spacing w:before="0" w:after="80"/>
        <w:jc w:val="center"/>
      </w:pPr>
      <w:r>
        <w:rPr>
          <w:b w:val="0"/>
          <w:color w:val="6B747C"/>
          <w:sz w:val="22"/>
        </w:rPr>
        <w:t>Status: Draft — Circulated for Business Sign-off</w:t>
      </w:r>
    </w:p>
    <w:p>
      <w:pPr>
        <w:spacing w:before="0" w:after="80"/>
        <w:jc w:val="center"/>
      </w:pPr>
      <w:r>
        <w:rPr>
          <w:b w:val="0"/>
          <w:color w:val="6B747C"/>
          <w:sz w:val="22"/>
        </w:rPr>
        <w:t>Prepared for: Product Team Alignment and External Client Presentation</w:t>
      </w:r>
    </w:p>
    <w:p/>
    <w:p/>
    <w:p/>
    <w:p/>
    <w:p/>
    <w:p/>
    <w:tbl>
      <w:tblPr>
        <w:tblW w:type="auto" w:w="0"/>
        <w:jc w:val="center"/>
        <w:tblLayout w:type="fixed"/>
        <w:tblLook w:firstColumn="1" w:firstRow="1" w:lastColumn="0" w:lastRow="0" w:noHBand="0" w:noVBand="1" w:val="04A0"/>
      </w:tblPr>
      <w:tblGrid>
        <w:gridCol w:w="4706"/>
        <w:gridCol w:w="4706"/>
      </w:tblGrid>
      <w:tr>
        <w:tc>
          <w:tcPr>
            <w:tcW w:type="dxa" w:w="2448"/>
            <w:shd w:val="clear" w:color="auto" w:fill="E4F0F2"/>
            <w:tcMar>
              <w:top w:w="60" w:type="dxa"/>
              <w:bottom w:w="60" w:type="dxa"/>
              <w:left w:w="100" w:type="dxa"/>
              <w:right w:w="100" w:type="dxa"/>
            </w:tcMar>
          </w:tcPr>
          <w:p>
            <w:r/>
            <w:r>
              <w:rPr>
                <w:b/>
                <w:color w:val="0B2E4E"/>
                <w:sz w:val="19"/>
              </w:rPr>
              <w:t>Document Title</w:t>
            </w:r>
          </w:p>
        </w:tc>
        <w:tc>
          <w:tcPr>
            <w:tcW w:type="dxa" w:w="6192"/>
            <w:tcMar>
              <w:top w:w="60" w:type="dxa"/>
              <w:bottom w:w="60" w:type="dxa"/>
              <w:left w:w="100" w:type="dxa"/>
              <w:right w:w="100" w:type="dxa"/>
            </w:tcMar>
          </w:tcPr>
          <w:p>
            <w:r/>
            <w:r>
              <w:rPr>
                <w:color w:val="3C4752"/>
                <w:sz w:val="19"/>
              </w:rPr>
              <w:t>IISM Product Requirements Document (PRD)</w:t>
            </w:r>
          </w:p>
        </w:tc>
      </w:tr>
      <w:tr>
        <w:tc>
          <w:tcPr>
            <w:tcW w:type="dxa" w:w="2448"/>
            <w:shd w:val="clear" w:color="auto" w:fill="E4F0F2"/>
            <w:tcMar>
              <w:top w:w="60" w:type="dxa"/>
              <w:bottom w:w="60" w:type="dxa"/>
              <w:left w:w="100" w:type="dxa"/>
              <w:right w:w="100" w:type="dxa"/>
            </w:tcMar>
          </w:tcPr>
          <w:p>
            <w:r/>
            <w:r>
              <w:rPr>
                <w:b/>
                <w:color w:val="0B2E4E"/>
                <w:sz w:val="19"/>
              </w:rPr>
              <w:t>Version</w:t>
            </w:r>
          </w:p>
        </w:tc>
        <w:tc>
          <w:tcPr>
            <w:tcW w:type="dxa" w:w="6192"/>
            <w:tcMar>
              <w:top w:w="60" w:type="dxa"/>
              <w:bottom w:w="60" w:type="dxa"/>
              <w:left w:w="100" w:type="dxa"/>
              <w:right w:w="100" w:type="dxa"/>
            </w:tcMar>
          </w:tcPr>
          <w:p>
            <w:r/>
            <w:r>
              <w:rPr>
                <w:color w:val="3C4752"/>
                <w:sz w:val="19"/>
              </w:rPr>
              <w:t>1.0</w:t>
            </w:r>
          </w:p>
        </w:tc>
      </w:tr>
      <w:tr>
        <w:tc>
          <w:tcPr>
            <w:tcW w:type="dxa" w:w="2448"/>
            <w:shd w:val="clear" w:color="auto" w:fill="E4F0F2"/>
            <w:tcMar>
              <w:top w:w="60" w:type="dxa"/>
              <w:bottom w:w="60" w:type="dxa"/>
              <w:left w:w="100" w:type="dxa"/>
              <w:right w:w="100" w:type="dxa"/>
            </w:tcMar>
          </w:tcPr>
          <w:p>
            <w:r/>
            <w:r>
              <w:rPr>
                <w:b/>
                <w:color w:val="0B2E4E"/>
                <w:sz w:val="19"/>
              </w:rPr>
              <w:t>Prepared By</w:t>
            </w:r>
          </w:p>
        </w:tc>
        <w:tc>
          <w:tcPr>
            <w:tcW w:type="dxa" w:w="6192"/>
            <w:tcMar>
              <w:top w:w="60" w:type="dxa"/>
              <w:bottom w:w="60" w:type="dxa"/>
              <w:left w:w="100" w:type="dxa"/>
              <w:right w:w="100" w:type="dxa"/>
            </w:tcMar>
          </w:tcPr>
          <w:p>
            <w:r/>
            <w:r>
              <w:rPr>
                <w:color w:val="3C4752"/>
                <w:sz w:val="19"/>
              </w:rPr>
              <w:t>Product &amp; Engineering — IISM Programme</w:t>
            </w:r>
          </w:p>
        </w:tc>
      </w:tr>
      <w:tr>
        <w:tc>
          <w:tcPr>
            <w:tcW w:type="dxa" w:w="2448"/>
            <w:shd w:val="clear" w:color="auto" w:fill="E4F0F2"/>
            <w:tcMar>
              <w:top w:w="60" w:type="dxa"/>
              <w:bottom w:w="60" w:type="dxa"/>
              <w:left w:w="100" w:type="dxa"/>
              <w:right w:w="100" w:type="dxa"/>
            </w:tcMar>
          </w:tcPr>
          <w:p>
            <w:r/>
            <w:r>
              <w:rPr>
                <w:b/>
                <w:color w:val="0B2E4E"/>
                <w:sz w:val="19"/>
              </w:rPr>
              <w:t>Distribution</w:t>
            </w:r>
          </w:p>
        </w:tc>
        <w:tc>
          <w:tcPr>
            <w:tcW w:type="dxa" w:w="6192"/>
            <w:tcMar>
              <w:top w:w="60" w:type="dxa"/>
              <w:bottom w:w="60" w:type="dxa"/>
              <w:left w:w="100" w:type="dxa"/>
              <w:right w:w="100" w:type="dxa"/>
            </w:tcMar>
          </w:tcPr>
          <w:p>
            <w:r/>
            <w:r>
              <w:rPr>
                <w:color w:val="3C4752"/>
                <w:sz w:val="19"/>
              </w:rPr>
              <w:t>Product Team, Design, Engineering, External Client Stakeholders</w:t>
            </w:r>
          </w:p>
        </w:tc>
      </w:tr>
      <w:tr>
        <w:tc>
          <w:tcPr>
            <w:tcW w:type="dxa" w:w="2448"/>
            <w:shd w:val="clear" w:color="auto" w:fill="E4F0F2"/>
            <w:tcMar>
              <w:top w:w="60" w:type="dxa"/>
              <w:bottom w:w="60" w:type="dxa"/>
              <w:left w:w="100" w:type="dxa"/>
              <w:right w:w="100" w:type="dxa"/>
            </w:tcMar>
          </w:tcPr>
          <w:p>
            <w:r/>
            <w:r>
              <w:rPr>
                <w:b/>
                <w:color w:val="0B2E4E"/>
                <w:sz w:val="19"/>
              </w:rPr>
              <w:t>Classification</w:t>
            </w:r>
          </w:p>
        </w:tc>
        <w:tc>
          <w:tcPr>
            <w:tcW w:type="dxa" w:w="6192"/>
            <w:tcMar>
              <w:top w:w="60" w:type="dxa"/>
              <w:bottom w:w="60" w:type="dxa"/>
              <w:left w:w="100" w:type="dxa"/>
              <w:right w:w="100" w:type="dxa"/>
            </w:tcMar>
          </w:tcPr>
          <w:p>
            <w:r/>
            <w:r>
              <w:rPr>
                <w:color w:val="3C4752"/>
                <w:sz w:val="19"/>
              </w:rPr>
              <w:t>Confidential — Not for Public Circulation</w:t>
            </w:r>
          </w:p>
        </w:tc>
      </w:tr>
      <w:tr>
        <w:tc>
          <w:tcPr>
            <w:tcW w:type="dxa" w:w="2448"/>
            <w:shd w:val="clear" w:color="auto" w:fill="E4F0F2"/>
            <w:tcMar>
              <w:top w:w="60" w:type="dxa"/>
              <w:bottom w:w="60" w:type="dxa"/>
              <w:left w:w="100" w:type="dxa"/>
              <w:right w:w="100" w:type="dxa"/>
            </w:tcMar>
          </w:tcPr>
          <w:p>
            <w:r/>
            <w:r>
              <w:rPr>
                <w:b/>
                <w:color w:val="0B2E4E"/>
                <w:sz w:val="19"/>
              </w:rPr>
              <w:t>Companion Documents</w:t>
            </w:r>
          </w:p>
        </w:tc>
        <w:tc>
          <w:tcPr>
            <w:tcW w:type="dxa" w:w="6192"/>
            <w:tcMar>
              <w:top w:w="60" w:type="dxa"/>
              <w:bottom w:w="60" w:type="dxa"/>
              <w:left w:w="100" w:type="dxa"/>
              <w:right w:w="100" w:type="dxa"/>
            </w:tcMar>
          </w:tcPr>
          <w:p>
            <w:r/>
            <w:r>
              <w:rPr>
                <w:color w:val="3C4752"/>
                <w:sz w:val="19"/>
              </w:rPr>
              <w:t>Business Requirements Document; Functional Requirements Specification; Architecture Decision Record</w:t>
            </w:r>
          </w:p>
        </w:tc>
      </w:tr>
    </w:tbl>
    <w:p>
      <w:r>
        <w:br w:type="page"/>
      </w:r>
    </w:p>
    <w:p>
      <w:pPr>
        <w:pStyle w:val="Heading1"/>
      </w:pPr>
      <w:r>
        <w:t>Document Control</w:t>
      </w:r>
    </w:p>
    <w:p>
      <w:pPr>
        <w:pStyle w:val="Heading2"/>
      </w:pPr>
      <w:r>
        <w:t>Revision History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1152"/>
            <w:shd w:val="clear" w:color="auto" w:fill="0B2E4E"/>
            <w:tcMar>
              <w:top w:w="60" w:type="dxa"/>
              <w:bottom w:w="60" w:type="dxa"/>
              <w:left w:w="100" w:type="dxa"/>
              <w:right w:w="100" w:type="dxa"/>
            </w:tcMar>
            <w:vAlign w:val="center"/>
          </w:tcPr>
          <w:p>
            <w:r/>
            <w:r>
              <w:rPr>
                <w:b/>
                <w:color w:val="FFFFFF"/>
                <w:sz w:val="19"/>
              </w:rPr>
              <w:t>Version</w:t>
            </w:r>
          </w:p>
        </w:tc>
        <w:tc>
          <w:tcPr>
            <w:tcW w:type="dxa" w:w="1296"/>
            <w:shd w:val="clear" w:color="auto" w:fill="0B2E4E"/>
            <w:tcMar>
              <w:top w:w="60" w:type="dxa"/>
              <w:bottom w:w="60" w:type="dxa"/>
              <w:left w:w="100" w:type="dxa"/>
              <w:right w:w="100" w:type="dxa"/>
            </w:tcMar>
            <w:vAlign w:val="center"/>
          </w:tcPr>
          <w:p>
            <w:r/>
            <w:r>
              <w:rPr>
                <w:b/>
                <w:color w:val="FFFFFF"/>
                <w:sz w:val="19"/>
              </w:rPr>
              <w:t>Date</w:t>
            </w:r>
          </w:p>
        </w:tc>
        <w:tc>
          <w:tcPr>
            <w:tcW w:type="dxa" w:w="2304"/>
            <w:shd w:val="clear" w:color="auto" w:fill="0B2E4E"/>
            <w:tcMar>
              <w:top w:w="60" w:type="dxa"/>
              <w:bottom w:w="60" w:type="dxa"/>
              <w:left w:w="100" w:type="dxa"/>
              <w:right w:w="100" w:type="dxa"/>
            </w:tcMar>
            <w:vAlign w:val="center"/>
          </w:tcPr>
          <w:p>
            <w:r/>
            <w:r>
              <w:rPr>
                <w:b/>
                <w:color w:val="FFFFFF"/>
                <w:sz w:val="19"/>
              </w:rPr>
              <w:t>Author</w:t>
            </w:r>
          </w:p>
        </w:tc>
        <w:tc>
          <w:tcPr>
            <w:tcW w:type="dxa" w:w="3888"/>
            <w:shd w:val="clear" w:color="auto" w:fill="0B2E4E"/>
            <w:tcMar>
              <w:top w:w="60" w:type="dxa"/>
              <w:bottom w:w="60" w:type="dxa"/>
              <w:left w:w="100" w:type="dxa"/>
              <w:right w:w="100" w:type="dxa"/>
            </w:tcMar>
            <w:vAlign w:val="center"/>
          </w:tcPr>
          <w:p>
            <w:r/>
            <w:r>
              <w:rPr>
                <w:b/>
                <w:color w:val="FFFFFF"/>
                <w:sz w:val="19"/>
              </w:rPr>
              <w:t>Summary of Changes</w:t>
            </w:r>
          </w:p>
        </w:tc>
      </w:tr>
      <w:tr>
        <w:tc>
          <w:tcPr>
            <w:tcW w:type="dxa" w:w="1152"/>
            <w:shd w:val="clear" w:color="auto" w:fill="F2F4F6"/>
            <w:tcMar>
              <w:top w:w="60" w:type="dxa"/>
              <w:bottom w:w="60" w:type="dxa"/>
              <w:left w:w="100" w:type="dxa"/>
              <w:right w:w="100" w:type="dxa"/>
            </w:tcMar>
          </w:tcPr>
          <w:p>
            <w:pPr>
              <w:spacing w:before="0" w:after="0"/>
            </w:pPr>
            <w:r/>
            <w:r>
              <w:rPr>
                <w:color w:val="3C4752"/>
                <w:sz w:val="19"/>
              </w:rPr>
              <w:t>0.1</w:t>
            </w:r>
          </w:p>
        </w:tc>
        <w:tc>
          <w:tcPr>
            <w:tcW w:type="dxa" w:w="1296"/>
            <w:shd w:val="clear" w:color="auto" w:fill="F2F4F6"/>
            <w:tcMar>
              <w:top w:w="60" w:type="dxa"/>
              <w:bottom w:w="60" w:type="dxa"/>
              <w:left w:w="100" w:type="dxa"/>
              <w:right w:w="100" w:type="dxa"/>
            </w:tcMar>
          </w:tcPr>
          <w:p>
            <w:pPr>
              <w:spacing w:before="0" w:after="0"/>
            </w:pPr>
            <w:r/>
            <w:r>
              <w:rPr>
                <w:color w:val="3C4752"/>
                <w:sz w:val="19"/>
              </w:rPr>
              <w:t>2026-09-24</w:t>
            </w:r>
          </w:p>
        </w:tc>
        <w:tc>
          <w:tcPr>
            <w:tcW w:type="dxa" w:w="2304"/>
            <w:shd w:val="clear" w:color="auto" w:fill="F2F4F6"/>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2F4F6"/>
            <w:tcMar>
              <w:top w:w="60" w:type="dxa"/>
              <w:bottom w:w="60" w:type="dxa"/>
              <w:left w:w="100" w:type="dxa"/>
              <w:right w:w="100" w:type="dxa"/>
            </w:tcMar>
          </w:tcPr>
          <w:p>
            <w:pPr>
              <w:spacing w:before="0" w:after="0"/>
            </w:pPr>
            <w:r/>
            <w:r>
              <w:rPr>
                <w:color w:val="3C4752"/>
                <w:sz w:val="19"/>
              </w:rPr>
              <w:t>Initial draft compiled for product-team alignment, alongside the BRD and the FRS.</w:t>
            </w:r>
          </w:p>
        </w:tc>
      </w:tr>
      <w:tr>
        <w:tc>
          <w:tcPr>
            <w:tcW w:type="dxa" w:w="1152"/>
            <w:shd w:val="clear" w:color="auto" w:fill="FFFFFF"/>
            <w:tcMar>
              <w:top w:w="60" w:type="dxa"/>
              <w:bottom w:w="60" w:type="dxa"/>
              <w:left w:w="100" w:type="dxa"/>
              <w:right w:w="100" w:type="dxa"/>
            </w:tcMar>
          </w:tcPr>
          <w:p>
            <w:pPr>
              <w:spacing w:before="0" w:after="0"/>
            </w:pPr>
            <w:r/>
            <w:r>
              <w:rPr>
                <w:color w:val="3C4752"/>
                <w:sz w:val="19"/>
              </w:rPr>
              <w:t>1.0</w:t>
            </w:r>
          </w:p>
        </w:tc>
        <w:tc>
          <w:tcPr>
            <w:tcW w:type="dxa" w:w="1296"/>
            <w:shd w:val="clear" w:color="auto" w:fill="FFFFFF"/>
            <w:tcMar>
              <w:top w:w="60" w:type="dxa"/>
              <w:bottom w:w="60" w:type="dxa"/>
              <w:left w:w="100" w:type="dxa"/>
              <w:right w:w="100" w:type="dxa"/>
            </w:tcMar>
          </w:tcPr>
          <w:p>
            <w:pPr>
              <w:spacing w:before="0" w:after="0"/>
            </w:pPr>
            <w:r/>
            <w:r>
              <w:rPr>
                <w:color w:val="3C4752"/>
                <w:sz w:val="19"/>
              </w:rPr>
              <w:t>2026-09-24</w:t>
            </w:r>
          </w:p>
        </w:tc>
        <w:tc>
          <w:tcPr>
            <w:tcW w:type="dxa" w:w="2304"/>
            <w:shd w:val="clear" w:color="auto" w:fill="FFFFFF"/>
            <w:tcMar>
              <w:top w:w="60" w:type="dxa"/>
              <w:bottom w:w="60" w:type="dxa"/>
              <w:left w:w="100" w:type="dxa"/>
              <w:right w:w="100" w:type="dxa"/>
            </w:tcMar>
          </w:tcPr>
          <w:p>
            <w:pPr>
              <w:spacing w:before="0" w:after="0"/>
            </w:pPr>
            <w:r/>
            <w:r>
              <w:rPr>
                <w:color w:val="3C4752"/>
                <w:sz w:val="19"/>
              </w:rPr>
              <w:t>Product &amp; Engineering</w:t>
            </w:r>
          </w:p>
        </w:tc>
        <w:tc>
          <w:tcPr>
            <w:tcW w:type="dxa" w:w="3888"/>
            <w:shd w:val="clear" w:color="auto" w:fill="FFFFFF"/>
            <w:tcMar>
              <w:top w:w="60" w:type="dxa"/>
              <w:bottom w:w="60" w:type="dxa"/>
              <w:left w:w="100" w:type="dxa"/>
              <w:right w:w="100" w:type="dxa"/>
            </w:tcMar>
          </w:tcPr>
          <w:p>
            <w:pPr>
              <w:spacing w:before="0" w:after="0"/>
            </w:pPr>
            <w:r/>
            <w:r>
              <w:rPr>
                <w:color w:val="3C4752"/>
                <w:sz w:val="19"/>
              </w:rPr>
              <w:t>First version circulated for sign-off and client presentation.</w:t>
            </w:r>
          </w:p>
        </w:tc>
      </w:tr>
    </w:tbl>
    <w:p>
      <w:pPr>
        <w:spacing w:after="80"/>
      </w:pPr>
    </w:p>
    <w:p>
      <w:pPr>
        <w:pStyle w:val="Heading2"/>
      </w:pPr>
      <w:r>
        <w:t>Approval</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736"/>
            <w:shd w:val="clear" w:color="auto" w:fill="0B2E4E"/>
            <w:tcMar>
              <w:top w:w="60" w:type="dxa"/>
              <w:bottom w:w="60" w:type="dxa"/>
              <w:left w:w="100" w:type="dxa"/>
              <w:right w:w="100" w:type="dxa"/>
            </w:tcMar>
            <w:vAlign w:val="center"/>
          </w:tcPr>
          <w:p>
            <w:r/>
            <w:r>
              <w:rPr>
                <w:b/>
                <w:color w:val="FFFFFF"/>
                <w:sz w:val="19"/>
              </w:rPr>
              <w:t>Role</w:t>
            </w:r>
          </w:p>
        </w:tc>
        <w:tc>
          <w:tcPr>
            <w:tcW w:type="dxa" w:w="2160"/>
            <w:shd w:val="clear" w:color="auto" w:fill="0B2E4E"/>
            <w:tcMar>
              <w:top w:w="60" w:type="dxa"/>
              <w:bottom w:w="60" w:type="dxa"/>
              <w:left w:w="100" w:type="dxa"/>
              <w:right w:w="100" w:type="dxa"/>
            </w:tcMar>
            <w:vAlign w:val="center"/>
          </w:tcPr>
          <w:p>
            <w:r/>
            <w:r>
              <w:rPr>
                <w:b/>
                <w:color w:val="FFFFFF"/>
                <w:sz w:val="19"/>
              </w:rPr>
              <w:t>Name</w:t>
            </w:r>
          </w:p>
        </w:tc>
        <w:tc>
          <w:tcPr>
            <w:tcW w:type="dxa" w:w="2592"/>
            <w:shd w:val="clear" w:color="auto" w:fill="0B2E4E"/>
            <w:tcMar>
              <w:top w:w="60" w:type="dxa"/>
              <w:bottom w:w="60" w:type="dxa"/>
              <w:left w:w="100" w:type="dxa"/>
              <w:right w:w="100" w:type="dxa"/>
            </w:tcMar>
            <w:vAlign w:val="center"/>
          </w:tcPr>
          <w:p>
            <w:r/>
            <w:r>
              <w:rPr>
                <w:b/>
                <w:color w:val="FFFFFF"/>
                <w:sz w:val="19"/>
              </w:rPr>
              <w:t>Signature / Approval</w:t>
            </w:r>
          </w:p>
        </w:tc>
        <w:tc>
          <w:tcPr>
            <w:tcW w:type="dxa" w:w="1152"/>
            <w:shd w:val="clear" w:color="auto" w:fill="0B2E4E"/>
            <w:tcMar>
              <w:top w:w="60" w:type="dxa"/>
              <w:bottom w:w="60" w:type="dxa"/>
              <w:left w:w="100" w:type="dxa"/>
              <w:right w:w="100" w:type="dxa"/>
            </w:tcMar>
            <w:vAlign w:val="center"/>
          </w:tcPr>
          <w:p>
            <w:r/>
            <w:r>
              <w:rPr>
                <w:b/>
                <w:color w:val="FFFFFF"/>
                <w:sz w:val="19"/>
              </w:rPr>
              <w:t>Date</w:t>
            </w:r>
          </w:p>
        </w:tc>
      </w:tr>
      <w:tr>
        <w:tc>
          <w:tcPr>
            <w:tcW w:type="dxa" w:w="2736"/>
            <w:shd w:val="clear" w:color="auto" w:fill="F2F4F6"/>
            <w:tcMar>
              <w:top w:w="60" w:type="dxa"/>
              <w:bottom w:w="60" w:type="dxa"/>
              <w:left w:w="100" w:type="dxa"/>
              <w:right w:w="100" w:type="dxa"/>
            </w:tcMar>
          </w:tcPr>
          <w:p>
            <w:pPr>
              <w:spacing w:before="0" w:after="0"/>
            </w:pPr>
            <w:r/>
            <w:r>
              <w:rPr>
                <w:color w:val="3C4752"/>
                <w:sz w:val="19"/>
              </w:rPr>
              <w:t>Product Owner</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Design Lead</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r>
        <w:tc>
          <w:tcPr>
            <w:tcW w:type="dxa" w:w="2736"/>
            <w:shd w:val="clear" w:color="auto" w:fill="F2F4F6"/>
            <w:tcMar>
              <w:top w:w="60" w:type="dxa"/>
              <w:bottom w:w="60" w:type="dxa"/>
              <w:left w:w="100" w:type="dxa"/>
              <w:right w:w="100" w:type="dxa"/>
            </w:tcMar>
          </w:tcPr>
          <w:p>
            <w:pPr>
              <w:spacing w:before="0" w:after="0"/>
            </w:pPr>
            <w:r/>
            <w:r>
              <w:rPr>
                <w:color w:val="3C4752"/>
                <w:sz w:val="19"/>
              </w:rPr>
              <w:t>Engineering Lead</w:t>
            </w:r>
          </w:p>
        </w:tc>
        <w:tc>
          <w:tcPr>
            <w:tcW w:type="dxa" w:w="2160"/>
            <w:shd w:val="clear" w:color="auto" w:fill="F2F4F6"/>
            <w:tcMar>
              <w:top w:w="60" w:type="dxa"/>
              <w:bottom w:w="60" w:type="dxa"/>
              <w:left w:w="100" w:type="dxa"/>
              <w:right w:w="100" w:type="dxa"/>
            </w:tcMar>
          </w:tcPr>
          <w:p>
            <w:pPr>
              <w:spacing w:before="0" w:after="0"/>
            </w:pPr>
            <w:r/>
            <w:r>
              <w:rPr>
                <w:color w:val="3C4752"/>
                <w:sz w:val="19"/>
              </w:rPr>
            </w:r>
          </w:p>
        </w:tc>
        <w:tc>
          <w:tcPr>
            <w:tcW w:type="dxa" w:w="2592"/>
            <w:shd w:val="clear" w:color="auto" w:fill="F2F4F6"/>
            <w:tcMar>
              <w:top w:w="60" w:type="dxa"/>
              <w:bottom w:w="60" w:type="dxa"/>
              <w:left w:w="100" w:type="dxa"/>
              <w:right w:w="100" w:type="dxa"/>
            </w:tcMar>
          </w:tcPr>
          <w:p>
            <w:pPr>
              <w:spacing w:before="0" w:after="0"/>
            </w:pPr>
            <w:r/>
            <w:r>
              <w:rPr>
                <w:color w:val="3C4752"/>
                <w:sz w:val="19"/>
              </w:rPr>
            </w:r>
          </w:p>
        </w:tc>
        <w:tc>
          <w:tcPr>
            <w:tcW w:type="dxa" w:w="1152"/>
            <w:shd w:val="clear" w:color="auto" w:fill="F2F4F6"/>
            <w:tcMar>
              <w:top w:w="60" w:type="dxa"/>
              <w:bottom w:w="60" w:type="dxa"/>
              <w:left w:w="100" w:type="dxa"/>
              <w:right w:w="100" w:type="dxa"/>
            </w:tcMar>
          </w:tcPr>
          <w:p>
            <w:pPr>
              <w:spacing w:before="0" w:after="0"/>
            </w:pPr>
            <w:r/>
            <w:r>
              <w:rPr>
                <w:color w:val="3C4752"/>
                <w:sz w:val="19"/>
              </w:rPr>
            </w:r>
          </w:p>
        </w:tc>
      </w:tr>
      <w:tr>
        <w:tc>
          <w:tcPr>
            <w:tcW w:type="dxa" w:w="2736"/>
            <w:shd w:val="clear" w:color="auto" w:fill="FFFFFF"/>
            <w:tcMar>
              <w:top w:w="60" w:type="dxa"/>
              <w:bottom w:w="60" w:type="dxa"/>
              <w:left w:w="100" w:type="dxa"/>
              <w:right w:w="100" w:type="dxa"/>
            </w:tcMar>
          </w:tcPr>
          <w:p>
            <w:pPr>
              <w:spacing w:before="0" w:after="0"/>
            </w:pPr>
            <w:r/>
            <w:r>
              <w:rPr>
                <w:color w:val="3C4752"/>
                <w:sz w:val="19"/>
              </w:rPr>
              <w:t>Business Sponsor</w:t>
            </w:r>
          </w:p>
        </w:tc>
        <w:tc>
          <w:tcPr>
            <w:tcW w:type="dxa" w:w="2160"/>
            <w:shd w:val="clear" w:color="auto" w:fill="FFFFFF"/>
            <w:tcMar>
              <w:top w:w="60" w:type="dxa"/>
              <w:bottom w:w="60" w:type="dxa"/>
              <w:left w:w="100" w:type="dxa"/>
              <w:right w:w="100" w:type="dxa"/>
            </w:tcMar>
          </w:tcPr>
          <w:p>
            <w:pPr>
              <w:spacing w:before="0" w:after="0"/>
            </w:pPr>
            <w:r/>
            <w:r>
              <w:rPr>
                <w:color w:val="3C4752"/>
                <w:sz w:val="19"/>
              </w:rPr>
            </w:r>
          </w:p>
        </w:tc>
        <w:tc>
          <w:tcPr>
            <w:tcW w:type="dxa" w:w="2592"/>
            <w:shd w:val="clear" w:color="auto" w:fill="FFFFFF"/>
            <w:tcMar>
              <w:top w:w="60" w:type="dxa"/>
              <w:bottom w:w="60" w:type="dxa"/>
              <w:left w:w="100" w:type="dxa"/>
              <w:right w:w="100" w:type="dxa"/>
            </w:tcMar>
          </w:tcPr>
          <w:p>
            <w:pPr>
              <w:spacing w:before="0" w:after="0"/>
            </w:pPr>
            <w:r/>
            <w:r>
              <w:rPr>
                <w:color w:val="3C4752"/>
                <w:sz w:val="19"/>
              </w:rPr>
            </w:r>
          </w:p>
        </w:tc>
        <w:tc>
          <w:tcPr>
            <w:tcW w:type="dxa" w:w="1152"/>
            <w:shd w:val="clear" w:color="auto" w:fill="FFFFFF"/>
            <w:tcMar>
              <w:top w:w="60" w:type="dxa"/>
              <w:bottom w:w="60" w:type="dxa"/>
              <w:left w:w="100" w:type="dxa"/>
              <w:right w:w="100" w:type="dxa"/>
            </w:tcMar>
          </w:tcPr>
          <w:p>
            <w:pPr>
              <w:spacing w:before="0" w:after="0"/>
            </w:pPr>
            <w:r/>
            <w:r>
              <w:rPr>
                <w:color w:val="3C4752"/>
                <w:sz w:val="19"/>
              </w:rPr>
            </w:r>
          </w:p>
        </w:tc>
      </w:tr>
    </w:tbl>
    <w:p>
      <w:pPr>
        <w:spacing w:after="80"/>
      </w:pPr>
    </w:p>
    <w:p>
      <w:r>
        <w:br w:type="page"/>
      </w:r>
    </w:p>
    <w:p>
      <w:pPr>
        <w:pStyle w:val="Heading1"/>
      </w:pPr>
      <w:r>
        <w:t>Table of Contents</w:t>
      </w:r>
    </w:p>
    <w:p>
      <w:r>
        <w:fldChar w:fldCharType="begin" w:dirty="true"/>
        <w:instrText xml:space="preserve">TOC \o "1-3" \h \z \u</w:instrText>
        <w:fldChar w:fldCharType="separate"/>
      </w:r>
      <w:r>
        <w:t>Right-click and choose “Update Field” to generate the table of contents.</w:t>
      </w:r>
      <w:r>
        <w:fldChar w:fldCharType="end"/>
      </w:r>
    </w:p>
    <w:p>
      <w:r>
        <w:br w:type="page"/>
      </w:r>
    </w:p>
    <w:p>
      <w:pPr>
        <w:pStyle w:val="Heading1"/>
      </w:pPr>
      <w:r>
        <w:rPr>
          <w:color w:val="0F6E84"/>
        </w:rPr>
        <w:t xml:space="preserve">1  </w:t>
      </w:r>
      <w:r>
        <w:t>Product Vision</w:t>
      </w:r>
    </w:p>
    <w:p>
      <w:r>
        <w:rPr>
          <w:b w:val="0"/>
          <w:i w:val="0"/>
        </w:rPr>
        <w:t>IISM is a marketplace of vocational jobs and courses in which every candidate, job and course is decomposed into standards from India’s National Skills Qualifications Framework, so the product can compute what a person is missing for the work they want and which training closes that specific gap. The listings themselves are a commodity; the graph connecting them, and the deterministic scoring that reasons over it, is the product.</w:t>
      </w:r>
    </w:p>
    <w:p>
      <w:r>
        <w:rPr>
          <w:b w:val="0"/>
          <w:i w:val="0"/>
        </w:rPr>
        <w:t>The one sentence a new team member should be able to repeat: a candidate names a target, the platform computes the exact gap, recommends the course that closes it, and better matches surface as the gap narrows. Every feature in this document either builds that loop or serves the people and organisations who make it work.</w:t>
      </w:r>
    </w:p>
    <w:p>
      <w:pPr>
        <w:pStyle w:val="Heading2"/>
      </w:pPr>
      <w:r>
        <w:t>1.1  Product Principles</w:t>
      </w:r>
    </w:p>
    <w:p>
      <w:pPr>
        <w:pStyle w:val="ListBullet"/>
        <w:spacing w:before="0" w:after="60"/>
      </w:pPr>
      <w:r>
        <w:rPr>
          <w:b/>
        </w:rPr>
        <w:t xml:space="preserve">Deterministic decides, a model only explains. </w:t>
      </w:r>
      <w:r>
        <w:t>No score a candidate or employer sees is ever produced by a language model — it is explicit, inspectable arithmetic over real standards, so it can be defended to a candidate, an employer and a regulator.</w:t>
      </w:r>
    </w:p>
    <w:p>
      <w:pPr>
        <w:pStyle w:val="ListBullet"/>
        <w:spacing w:before="0" w:after="60"/>
      </w:pPr>
      <w:r>
        <w:rPr>
          <w:b/>
        </w:rPr>
        <w:t xml:space="preserve">The gap is the product, not the score. </w:t>
      </w:r>
      <w:r>
        <w:t>A candidate is shown which standards they hold, which they are missing, and which of the missing ones are mandatory — never reduced to a bare percentage with nothing to act on.</w:t>
      </w:r>
    </w:p>
    <w:p>
      <w:pPr>
        <w:pStyle w:val="ListBullet"/>
        <w:spacing w:before="0" w:after="60"/>
      </w:pPr>
      <w:r>
        <w:rPr>
          <w:b/>
        </w:rPr>
        <w:t xml:space="preserve">One vocabulary, everywhere. </w:t>
      </w:r>
      <w:r>
        <w:t>A job requirement, a course’s content and a candidate’s skill are always the same national standard, never three different free-text descriptions of the same thing.</w:t>
      </w:r>
    </w:p>
    <w:p>
      <w:pPr>
        <w:pStyle w:val="ListBullet"/>
        <w:spacing w:before="0" w:after="60"/>
      </w:pPr>
      <w:r>
        <w:rPr>
          <w:b/>
        </w:rPr>
        <w:t xml:space="preserve">Identity is protected by default. </w:t>
      </w:r>
      <w:r>
        <w:t>A candidate is anonymous to every organisation until they choose to be known — by applying, or by registering interest in a course.</w:t>
      </w:r>
    </w:p>
    <w:p>
      <w:pPr>
        <w:pStyle w:val="ListBullet"/>
        <w:spacing w:before="0" w:after="60"/>
      </w:pPr>
      <w:r>
        <w:rPr>
          <w:b/>
        </w:rPr>
        <w:t xml:space="preserve">Built for the actual device and the actual language. </w:t>
      </w:r>
      <w:r>
        <w:t>A low-end Android phone on constrained data, in Hindi or English, is the target experience, not the exception.</w:t>
      </w:r>
    </w:p>
    <w:p>
      <w:r>
        <w:br w:type="page"/>
      </w:r>
    </w:p>
    <w:p>
      <w:pPr>
        <w:pStyle w:val="Heading1"/>
      </w:pPr>
      <w:r>
        <w:rPr>
          <w:color w:val="0F6E84"/>
        </w:rPr>
        <w:t xml:space="preserve">2  </w:t>
      </w:r>
      <w:r>
        <w:t>How This Document Fits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312"/>
            <w:shd w:val="clear" w:color="auto" w:fill="0B2E4E"/>
            <w:tcMar>
              <w:top w:w="60" w:type="dxa"/>
              <w:bottom w:w="60" w:type="dxa"/>
              <w:left w:w="100" w:type="dxa"/>
              <w:right w:w="100" w:type="dxa"/>
            </w:tcMar>
            <w:vAlign w:val="center"/>
          </w:tcPr>
          <w:p>
            <w:r/>
            <w:r>
              <w:rPr>
                <w:b/>
                <w:color w:val="FFFFFF"/>
                <w:sz w:val="19"/>
              </w:rPr>
              <w:t>Document</w:t>
            </w:r>
          </w:p>
        </w:tc>
        <w:tc>
          <w:tcPr>
            <w:tcW w:type="dxa" w:w="3600"/>
            <w:shd w:val="clear" w:color="auto" w:fill="0B2E4E"/>
            <w:tcMar>
              <w:top w:w="60" w:type="dxa"/>
              <w:bottom w:w="60" w:type="dxa"/>
              <w:left w:w="100" w:type="dxa"/>
              <w:right w:w="100" w:type="dxa"/>
            </w:tcMar>
            <w:vAlign w:val="center"/>
          </w:tcPr>
          <w:p>
            <w:r/>
            <w:r>
              <w:rPr>
                <w:b/>
                <w:color w:val="FFFFFF"/>
                <w:sz w:val="19"/>
              </w:rPr>
              <w:t>Answers</w:t>
            </w:r>
          </w:p>
        </w:tc>
        <w:tc>
          <w:tcPr>
            <w:tcW w:type="dxa" w:w="2016"/>
            <w:shd w:val="clear" w:color="auto" w:fill="0B2E4E"/>
            <w:tcMar>
              <w:top w:w="60" w:type="dxa"/>
              <w:bottom w:w="60" w:type="dxa"/>
              <w:left w:w="100" w:type="dxa"/>
              <w:right w:w="100" w:type="dxa"/>
            </w:tcMar>
            <w:vAlign w:val="center"/>
          </w:tcPr>
          <w:p>
            <w:r/>
            <w:r>
              <w:rPr>
                <w:b/>
                <w:color w:val="FFFFFF"/>
                <w:sz w:val="19"/>
              </w:rPr>
              <w:t>Primary Reader</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Business Requirements Document</w:t>
            </w:r>
          </w:p>
        </w:tc>
        <w:tc>
          <w:tcPr>
            <w:tcW w:type="dxa" w:w="3600"/>
            <w:shd w:val="clear" w:color="auto" w:fill="F2F4F6"/>
            <w:tcMar>
              <w:top w:w="60" w:type="dxa"/>
              <w:bottom w:w="60" w:type="dxa"/>
              <w:left w:w="100" w:type="dxa"/>
              <w:right w:w="100" w:type="dxa"/>
            </w:tcMar>
          </w:tcPr>
          <w:p>
            <w:pPr>
              <w:spacing w:before="0" w:after="0"/>
            </w:pPr>
            <w:r/>
            <w:r>
              <w:rPr>
                <w:color w:val="3C4752"/>
                <w:sz w:val="19"/>
              </w:rPr>
              <w:t>Why does this exist, and what does the business need it to achieve?</w:t>
            </w:r>
          </w:p>
        </w:tc>
        <w:tc>
          <w:tcPr>
            <w:tcW w:type="dxa" w:w="2016"/>
            <w:shd w:val="clear" w:color="auto" w:fill="F2F4F6"/>
            <w:tcMar>
              <w:top w:w="60" w:type="dxa"/>
              <w:bottom w:w="60" w:type="dxa"/>
              <w:left w:w="100" w:type="dxa"/>
              <w:right w:w="100" w:type="dxa"/>
            </w:tcMar>
          </w:tcPr>
          <w:p>
            <w:pPr>
              <w:spacing w:before="0" w:after="0"/>
            </w:pPr>
            <w:r/>
            <w:r>
              <w:rPr>
                <w:color w:val="3C4752"/>
                <w:sz w:val="19"/>
              </w:rPr>
              <w:t>Business sponsors, external client stakeholders</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Product Requirements Document (this document)</w:t>
            </w:r>
          </w:p>
        </w:tc>
        <w:tc>
          <w:tcPr>
            <w:tcW w:type="dxa" w:w="3600"/>
            <w:shd w:val="clear" w:color="auto" w:fill="FFFFFF"/>
            <w:tcMar>
              <w:top w:w="60" w:type="dxa"/>
              <w:bottom w:w="60" w:type="dxa"/>
              <w:left w:w="100" w:type="dxa"/>
              <w:right w:w="100" w:type="dxa"/>
            </w:tcMar>
          </w:tcPr>
          <w:p>
            <w:pPr>
              <w:spacing w:before="0" w:after="0"/>
            </w:pPr>
            <w:r/>
            <w:r>
              <w:rPr>
                <w:color w:val="3C4752"/>
                <w:sz w:val="19"/>
              </w:rPr>
              <w:t>What are we building, for whom, in what order, and how do we know it worked?</w:t>
            </w:r>
          </w:p>
        </w:tc>
        <w:tc>
          <w:tcPr>
            <w:tcW w:type="dxa" w:w="2016"/>
            <w:shd w:val="clear" w:color="auto" w:fill="FFFFFF"/>
            <w:tcMar>
              <w:top w:w="60" w:type="dxa"/>
              <w:bottom w:w="60" w:type="dxa"/>
              <w:left w:w="100" w:type="dxa"/>
              <w:right w:w="100" w:type="dxa"/>
            </w:tcMar>
          </w:tcPr>
          <w:p>
            <w:pPr>
              <w:spacing w:before="0" w:after="0"/>
            </w:pPr>
            <w:r/>
            <w:r>
              <w:rPr>
                <w:color w:val="3C4752"/>
                <w:sz w:val="19"/>
              </w:rPr>
              <w:t>Product, design and engineering; client stakeholders wanting the product story</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Functional Requirements Specification</w:t>
            </w:r>
          </w:p>
        </w:tc>
        <w:tc>
          <w:tcPr>
            <w:tcW w:type="dxa" w:w="3600"/>
            <w:shd w:val="clear" w:color="auto" w:fill="F2F4F6"/>
            <w:tcMar>
              <w:top w:w="60" w:type="dxa"/>
              <w:bottom w:w="60" w:type="dxa"/>
              <w:left w:w="100" w:type="dxa"/>
              <w:right w:w="100" w:type="dxa"/>
            </w:tcMar>
          </w:tcPr>
          <w:p>
            <w:pPr>
              <w:spacing w:before="0" w:after="0"/>
            </w:pPr>
            <w:r/>
            <w:r>
              <w:rPr>
                <w:color w:val="3C4752"/>
                <w:sz w:val="19"/>
              </w:rPr>
              <w:t>Exactly how does the system behave — every business rule, every screen, step by step?</w:t>
            </w:r>
          </w:p>
        </w:tc>
        <w:tc>
          <w:tcPr>
            <w:tcW w:type="dxa" w:w="2016"/>
            <w:shd w:val="clear" w:color="auto" w:fill="F2F4F6"/>
            <w:tcMar>
              <w:top w:w="60" w:type="dxa"/>
              <w:bottom w:w="60" w:type="dxa"/>
              <w:left w:w="100" w:type="dxa"/>
              <w:right w:w="100" w:type="dxa"/>
            </w:tcMar>
          </w:tcPr>
          <w:p>
            <w:pPr>
              <w:spacing w:before="0" w:after="0"/>
            </w:pPr>
            <w:r/>
            <w:r>
              <w:rPr>
                <w:color w:val="3C4752"/>
                <w:sz w:val="19"/>
              </w:rPr>
              <w:t>QA, engineering detail, and business users finalising exact behaviour</w:t>
            </w:r>
          </w:p>
        </w:tc>
      </w:tr>
    </w:tbl>
    <w:p>
      <w:pPr>
        <w:spacing w:after="80"/>
      </w:pPr>
    </w:p>
    <w:p>
      <w:r>
        <w:rPr>
          <w:b w:val="0"/>
          <w:i w:val="0"/>
        </w:rPr>
        <w:t>Every user story in Section 5 names the Functional Requirements Specification section that carries its exact system behaviour, so the two are read together rather than duplicated against each other. Where this document sets a priority, that priority is this product team’s current judgement and is expected to be revisited, not a fixed commitment.</w:t>
      </w:r>
    </w:p>
    <w:p>
      <w:r>
        <w:br w:type="page"/>
      </w:r>
    </w:p>
    <w:p>
      <w:pPr>
        <w:pStyle w:val="Heading1"/>
      </w:pPr>
      <w:r>
        <w:rPr>
          <w:color w:val="0F6E84"/>
        </w:rPr>
        <w:t xml:space="preserve">3  </w:t>
      </w:r>
      <w:r>
        <w:t>Goals and Non-Goals</w:t>
      </w:r>
    </w:p>
    <w:p>
      <w:pPr>
        <w:pStyle w:val="Heading2"/>
      </w:pPr>
      <w:r>
        <w:t>3.1  Product Goals</w:t>
      </w:r>
    </w:p>
    <w:p>
      <w:pPr>
        <w:pStyle w:val="ListNumber"/>
        <w:spacing w:before="0" w:after="60"/>
      </w:pPr>
      <w:r>
        <w:t>Prove that skill-based matching against a real national standard outperforms keyword search and is defensible enough to show its work to anyone who asks.</w:t>
      </w:r>
    </w:p>
    <w:p>
      <w:pPr>
        <w:pStyle w:val="ListNumber"/>
        <w:spacing w:before="0" w:after="60"/>
      </w:pPr>
      <w:r>
        <w:t>Get a candidate from “I don’t know what I’m missing” to a scored, explained match in as few steps as the taxonomy allows.</w:t>
      </w:r>
    </w:p>
    <w:p>
      <w:pPr>
        <w:pStyle w:val="ListNumber"/>
        <w:spacing w:before="0" w:after="60"/>
      </w:pPr>
      <w:r>
        <w:t>Give an employer a candidate pool they can trust without needing to verify each claim themselves.</w:t>
      </w:r>
    </w:p>
    <w:p>
      <w:pPr>
        <w:pStyle w:val="ListNumber"/>
        <w:spacing w:before="0" w:after="60"/>
      </w:pPr>
      <w:r>
        <w:t>Give a training provider a reason to publish on this platform specifically: demand intelligence and candidates who provably need what they teach.</w:t>
      </w:r>
    </w:p>
    <w:p>
      <w:pPr>
        <w:pStyle w:val="ListNumber"/>
        <w:spacing w:before="0" w:after="60"/>
      </w:pPr>
      <w:r>
        <w:t>Do all of the above in the language and on the device the target user actually has.</w:t>
      </w:r>
    </w:p>
    <w:p>
      <w:pPr>
        <w:pStyle w:val="Heading2"/>
      </w:pPr>
      <w:r>
        <w:t>3.2  Explicit Non-Goals</w:t>
      </w:r>
    </w:p>
    <w:p>
      <w:r>
        <w:rPr>
          <w:b w:val="0"/>
          <w:i w:val="0"/>
        </w:rPr>
        <w:t>Stated so the product team does not have to keep re-deciding them.</w:t>
      </w:r>
    </w:p>
    <w:p>
      <w:pPr>
        <w:pStyle w:val="ListBullet"/>
        <w:spacing w:before="0" w:after="60"/>
      </w:pPr>
      <w:r>
        <w:t>This product does not try to be a general-purpose job board. Every listing is anchored to the national standard; a job or course that cannot be described that way does not belong here.</w:t>
      </w:r>
    </w:p>
    <w:p>
      <w:pPr>
        <w:pStyle w:val="ListBullet"/>
        <w:spacing w:before="0" w:after="60"/>
      </w:pPr>
      <w:r>
        <w:t>This product does not let a language model decide a match, a score or a ranking, ever — see Section 1.1.</w:t>
      </w:r>
    </w:p>
    <w:p>
      <w:pPr>
        <w:pStyle w:val="ListBullet"/>
        <w:spacing w:before="0" w:after="60"/>
      </w:pPr>
      <w:r>
        <w:t>This product does not charge anyone in this release — monetisation is a deliberate, separate future decision (BRD §5.2, §14).</w:t>
      </w:r>
    </w:p>
    <w:p>
      <w:pPr>
        <w:pStyle w:val="ListBullet"/>
        <w:spacing w:before="0" w:after="60"/>
      </w:pPr>
      <w:r>
        <w:t>This product does not build its own skills-assessment engine — it is designed to integrate a third party’s verified results instead.</w:t>
      </w:r>
    </w:p>
    <w:p>
      <w:r>
        <w:br w:type="page"/>
      </w:r>
    </w:p>
    <w:p>
      <w:pPr>
        <w:pStyle w:val="Heading1"/>
      </w:pPr>
      <w:r>
        <w:rPr>
          <w:color w:val="0F6E84"/>
        </w:rPr>
        <w:t xml:space="preserve">4  </w:t>
      </w:r>
      <w:r>
        <w:t>Personas</w:t>
      </w:r>
    </w:p>
    <w:p>
      <w:r>
        <w:rPr>
          <w:b w:val="0"/>
          <w:i w:val="0"/>
        </w:rPr>
        <w:t>The four personas below are illustrative composites synthesised from the target-cohort description in the Business Requirements Document and the Product Definition — they are a working shorthand for design and prioritisation decisions, not a claim of formal user research. Names are placeholders.</w:t>
      </w:r>
    </w:p>
    <w:p>
      <w:pPr>
        <w:pStyle w:val="Heading3"/>
      </w:pPr>
      <w:r>
        <w:t>Anjali — Candidate — Ward Attendant, aspiring General Duty Assistant</w:t>
      </w:r>
    </w:p>
    <w:p>
      <w:r>
        <w:rPr>
          <w:b w:val="0"/>
          <w:i/>
        </w:rPr>
        <w:t>24, based in a Tier-2 city, owns one phone, no regular email address, comfortable in Hindi, reads English with effort. Has worked two years as a ward attendant and wants to move up to a formally recognised role.</w:t>
      </w:r>
    </w:p>
    <w:p>
      <w:pPr>
        <w:pStyle w:val="Heading4"/>
      </w:pPr>
      <w:r>
        <w:t>Needs</w:t>
      </w:r>
    </w:p>
    <w:p>
      <w:pPr>
        <w:pStyle w:val="ListBullet"/>
        <w:spacing w:before="0" w:after="60"/>
      </w:pPr>
      <w:r>
        <w:t>To know, in her own words for the job she does, exactly what a formal qualification requires that she does not already have.</w:t>
      </w:r>
    </w:p>
    <w:p>
      <w:pPr>
        <w:pStyle w:val="ListBullet"/>
        <w:spacing w:before="0" w:after="60"/>
      </w:pPr>
      <w:r>
        <w:t>A sign-in that needs nothing but her phone.</w:t>
      </w:r>
    </w:p>
    <w:p>
      <w:pPr>
        <w:pStyle w:val="ListBullet"/>
        <w:spacing w:before="0" w:after="60"/>
      </w:pPr>
      <w:r>
        <w:t>A course recommendation she can actually afford and attend, not just the theoretically best one.</w:t>
      </w:r>
    </w:p>
    <w:p>
      <w:pPr>
        <w:pStyle w:val="Heading4"/>
      </w:pPr>
      <w:r>
        <w:t>Frustrated By</w:t>
      </w:r>
    </w:p>
    <w:p>
      <w:pPr>
        <w:pStyle w:val="ListBullet"/>
        <w:spacing w:before="0" w:after="60"/>
      </w:pPr>
      <w:r>
        <w:t>Job postings written in English jargon she cannot map to what she actually does.</w:t>
      </w:r>
    </w:p>
    <w:p>
      <w:pPr>
        <w:pStyle w:val="ListBullet"/>
        <w:spacing w:before="0" w:after="60"/>
      </w:pPr>
      <w:r>
        <w:t>Applying and hearing nothing back, ever, with no reason given.</w:t>
      </w:r>
    </w:p>
    <w:p>
      <w:pPr>
        <w:pStyle w:val="Heading3"/>
      </w:pPr>
      <w:r>
        <w:t>Rajesh — Employer — HR Coordinator, Mid-Sized Hospital Chain</w:t>
      </w:r>
    </w:p>
    <w:p>
      <w:r>
        <w:rPr>
          <w:b w:val="0"/>
          <w:i/>
        </w:rPr>
        <w:t>38, hires ward staff and technicians across several branches, work email but no patience for a heavy enterprise tool. Screens dozens of resumes a week for entry-level vocational roles.</w:t>
      </w:r>
    </w:p>
    <w:p>
      <w:pPr>
        <w:pStyle w:val="Heading4"/>
      </w:pPr>
      <w:r>
        <w:t>Needs</w:t>
      </w:r>
    </w:p>
    <w:p>
      <w:pPr>
        <w:pStyle w:val="ListBullet"/>
        <w:spacing w:before="0" w:after="60"/>
      </w:pPr>
      <w:r>
        <w:t>A candidate pool he can trust without personally verifying every certificate.</w:t>
      </w:r>
    </w:p>
    <w:p>
      <w:pPr>
        <w:pStyle w:val="ListBullet"/>
        <w:spacing w:before="0" w:after="60"/>
      </w:pPr>
      <w:r>
        <w:t>To post a vacancy once and reach people who can actually do the job, not everyone who applied to everything.</w:t>
      </w:r>
    </w:p>
    <w:p>
      <w:pPr>
        <w:pStyle w:val="ListBullet"/>
        <w:spacing w:before="0" w:after="60"/>
      </w:pPr>
      <w:r>
        <w:t>A team of colleagues who can share the workload without sharing one login.</w:t>
      </w:r>
    </w:p>
    <w:p>
      <w:pPr>
        <w:pStyle w:val="Heading4"/>
      </w:pPr>
      <w:r>
        <w:t>Frustrated By</w:t>
      </w:r>
    </w:p>
    <w:p>
      <w:pPr>
        <w:pStyle w:val="ListBullet"/>
        <w:spacing w:before="0" w:after="60"/>
      </w:pPr>
      <w:r>
        <w:t>Self-reported skills he has no way to verify.</w:t>
      </w:r>
    </w:p>
    <w:p>
      <w:pPr>
        <w:pStyle w:val="ListBullet"/>
        <w:spacing w:before="0" w:after="60"/>
      </w:pPr>
      <w:r>
        <w:t>Screening at a volume that costs more of his time than an entry-level hire is worth.</w:t>
      </w:r>
    </w:p>
    <w:p>
      <w:pPr>
        <w:pStyle w:val="Heading3"/>
      </w:pPr>
      <w:r>
        <w:t>Meera — Training Provider — Director, Vocational Training Institute</w:t>
      </w:r>
    </w:p>
    <w:p>
      <w:r>
        <w:rPr>
          <w:b w:val="0"/>
          <w:i/>
        </w:rPr>
        <w:t>45, runs a mid-sized training centre offering NSQF-aligned courses in two sectors. Wants her institute’s placement record to actually mean something to prospective students.</w:t>
      </w:r>
    </w:p>
    <w:p>
      <w:pPr>
        <w:pStyle w:val="Heading4"/>
      </w:pPr>
      <w:r>
        <w:t>Needs</w:t>
      </w:r>
    </w:p>
    <w:p>
      <w:pPr>
        <w:pStyle w:val="ListBullet"/>
        <w:spacing w:before="0" w:after="60"/>
      </w:pPr>
      <w:r>
        <w:t>To know what skills employers in her area are actually short of, before designing the next cohort.</w:t>
      </w:r>
    </w:p>
    <w:p>
      <w:pPr>
        <w:pStyle w:val="ListBullet"/>
        <w:spacing w:before="0" w:after="60"/>
      </w:pPr>
      <w:r>
        <w:t>Candidates who register interest because they genuinely need what she teaches, not because the course was merely nearby or cheap.</w:t>
      </w:r>
    </w:p>
    <w:p>
      <w:pPr>
        <w:pStyle w:val="Heading4"/>
      </w:pPr>
      <w:r>
        <w:t>Frustrated By</w:t>
      </w:r>
    </w:p>
    <w:p>
      <w:pPr>
        <w:pStyle w:val="ListBullet"/>
        <w:spacing w:before="0" w:after="60"/>
      </w:pPr>
      <w:r>
        <w:t>Publishing a course and hearing nothing about whether it worked until long after the cohort has finished.</w:t>
      </w:r>
    </w:p>
    <w:p>
      <w:pPr>
        <w:pStyle w:val="ListBullet"/>
        <w:spacing w:before="0" w:after="60"/>
      </w:pPr>
      <w:r>
        <w:t>No visibility into demand before committing resources to a new batch.</w:t>
      </w:r>
    </w:p>
    <w:p>
      <w:pPr>
        <w:pStyle w:val="Heading3"/>
      </w:pPr>
      <w:r>
        <w:t>Operator (internal) — Platform Operator — Trust and Safety</w:t>
      </w:r>
    </w:p>
    <w:p>
      <w:r>
        <w:rPr>
          <w:b w:val="0"/>
          <w:i/>
        </w:rPr>
        <w:t>An internal team member, not a public-facing user, granted authority through an internal process rather than any account signup. Reviews organisations before they carry a trust badge.</w:t>
      </w:r>
    </w:p>
    <w:p>
      <w:pPr>
        <w:pStyle w:val="Heading4"/>
      </w:pPr>
      <w:r>
        <w:t>Needs</w:t>
      </w:r>
    </w:p>
    <w:p>
      <w:pPr>
        <w:pStyle w:val="ListBullet"/>
        <w:spacing w:before="0" w:after="60"/>
      </w:pPr>
      <w:r>
        <w:t>A clear queue of what needs review, with nothing else mixed into it.</w:t>
      </w:r>
    </w:p>
    <w:p>
      <w:pPr>
        <w:pStyle w:val="ListBullet"/>
        <w:spacing w:before="0" w:after="60"/>
      </w:pPr>
      <w:r>
        <w:t>To be unable to accidentally grant a badge with no justification attached — the tool should make the careless mistake structurally impossible, not merely discouraged.</w:t>
      </w:r>
    </w:p>
    <w:p>
      <w:pPr>
        <w:pStyle w:val="Heading4"/>
      </w:pPr>
      <w:r>
        <w:t>Frustrated By</w:t>
      </w:r>
    </w:p>
    <w:p>
      <w:pPr>
        <w:pStyle w:val="ListBullet"/>
        <w:spacing w:before="0" w:after="60"/>
      </w:pPr>
      <w:r>
        <w:t>No path in this release to notify an organisation automatically when its status changes — a known limitation, not a design intent.</w:t>
      </w:r>
    </w:p>
    <w:p>
      <w:r>
        <w:br w:type="page"/>
      </w:r>
    </w:p>
    <w:p>
      <w:pPr>
        <w:pStyle w:val="Heading1"/>
      </w:pPr>
      <w:r>
        <w:rPr>
          <w:color w:val="0F6E84"/>
        </w:rPr>
        <w:t xml:space="preserve">5  </w:t>
      </w:r>
      <w:r>
        <w:t>User Stories and Feature Specifications</w:t>
      </w:r>
    </w:p>
    <w:p>
      <w:r>
        <w:rPr>
          <w:b w:val="0"/>
          <w:i w:val="0"/>
        </w:rPr>
        <w:t>Every story below is already built and live — this section documents the delivered product as user stories, not a backlog. Priority here reflects how foundational the story is to the core loop (Section 1), not an order still to be built: P0 stories are the platform’s spine, P1 stories are important but the product functions without any single one of them. The undelivered backlog, prioritised for what to build next, is in Section 9.</w:t>
      </w:r>
    </w:p>
    <w:p>
      <w:pPr>
        <w:pStyle w:val="Heading2"/>
      </w:pPr>
      <w:r>
        <w:t>5.1  Identity and Onboarding</w:t>
      </w:r>
    </w:p>
    <w:p>
      <w:pPr>
        <w:spacing w:before="160" w:after="40"/>
      </w:pPr>
      <w:r>
        <w:rPr>
          <w:rStyle w:val="ReqID"/>
        </w:rPr>
        <w:t xml:space="preserve">US-01 </w:t>
      </w:r>
      <w:r>
        <w:rPr>
          <w:b/>
          <w:color w:val="B02A2A"/>
        </w:rPr>
        <w:t xml:space="preserve">[P0] </w:t>
      </w:r>
      <w:r>
        <w:t>As a candidate, I want to sign in with only my phone number, so that having no email address never stops me from using the platform.</w:t>
      </w:r>
    </w:p>
    <w:p>
      <w:pPr>
        <w:pStyle w:val="BRHead"/>
      </w:pPr>
      <w:r>
        <w:t>Acceptance Criteria</w:t>
      </w:r>
    </w:p>
    <w:p>
      <w:pPr>
        <w:pStyle w:val="ListBullet2"/>
        <w:spacing w:before="0" w:after="40"/>
      </w:pPr>
      <w:r>
        <w:t>Given I enter a valid Indian mobile number, when I request a code, then a one-time passcode is sent to that number and no password is ever asked for.</w:t>
      </w:r>
    </w:p>
    <w:p>
      <w:pPr>
        <w:pStyle w:val="ListBullet2"/>
        <w:spacing w:before="0" w:after="40"/>
      </w:pPr>
      <w:r>
        <w:t>Given I enter the correct code, when it is verified, then I am signed in, and an account is created for me automatically if this is my first time.</w:t>
      </w:r>
    </w:p>
    <w:p>
      <w:pPr>
        <w:pStyle w:val="Caption2"/>
      </w:pPr>
      <w:r>
        <w:t>Persona: Anjali   |   Detailed behaviour: FRS §4.1</w:t>
      </w:r>
    </w:p>
    <w:p>
      <w:pPr>
        <w:spacing w:before="160" w:after="40"/>
      </w:pPr>
      <w:r>
        <w:rPr>
          <w:rStyle w:val="ReqID"/>
        </w:rPr>
        <w:t xml:space="preserve">US-02 </w:t>
      </w:r>
      <w:r>
        <w:rPr>
          <w:b/>
          <w:color w:val="B02A2A"/>
        </w:rPr>
        <w:t xml:space="preserve">[P0] </w:t>
      </w:r>
      <w:r>
        <w:t>As an employer, I want to register my organisation with just a work email, so that I can start posting a vacancy the same day I decide to.</w:t>
      </w:r>
    </w:p>
    <w:p>
      <w:pPr>
        <w:pStyle w:val="BRHead"/>
      </w:pPr>
      <w:r>
        <w:t>Acceptance Criteria</w:t>
      </w:r>
    </w:p>
    <w:p>
      <w:pPr>
        <w:pStyle w:val="ListBullet2"/>
        <w:spacing w:before="0" w:after="40"/>
      </w:pPr>
      <w:r>
        <w:t>Given I enter a work email address, when I request a code and verify it, then an organisation is created with me as its Owner.</w:t>
      </w:r>
    </w:p>
    <w:p>
      <w:pPr>
        <w:pStyle w:val="ListBullet2"/>
        <w:spacing w:before="0" w:after="40"/>
      </w:pPr>
      <w:r>
        <w:t>Given the email I entered already has an account, when I try to register, then I receive an ordinary sign-in code instead, with no indication given away about whether the address was already known.</w:t>
      </w:r>
    </w:p>
    <w:p>
      <w:pPr>
        <w:pStyle w:val="Caption2"/>
      </w:pPr>
      <w:r>
        <w:t>Persona: Rajesh   |   Detailed behaviour: FRS §4.1, 4.2</w:t>
      </w:r>
    </w:p>
    <w:p>
      <w:pPr>
        <w:spacing w:before="160" w:after="40"/>
      </w:pPr>
      <w:r>
        <w:rPr>
          <w:rStyle w:val="ReqID"/>
        </w:rPr>
        <w:t xml:space="preserve">US-03 </w:t>
      </w:r>
      <w:r>
        <w:rPr>
          <w:b/>
          <w:color w:val="B0760E"/>
        </w:rPr>
        <w:t xml:space="preserve">[P1] </w:t>
      </w:r>
      <w:r>
        <w:t>As a candidate who later starts hiring for my own small shop, I want to add an employer identity to my existing account, so that I am not forced to sign up twice as two different people.</w:t>
      </w:r>
    </w:p>
    <w:p>
      <w:pPr>
        <w:pStyle w:val="BRHead"/>
      </w:pPr>
      <w:r>
        <w:t>Acceptance Criteria</w:t>
      </w:r>
    </w:p>
    <w:p>
      <w:pPr>
        <w:pStyle w:val="ListBullet2"/>
        <w:spacing w:before="0" w:after="40"/>
      </w:pPr>
      <w:r>
        <w:t>Given I am signed in as a candidate, when I register a new organisation, then it is added as a second identity on my existing account, never a new account.</w:t>
      </w:r>
    </w:p>
    <w:p>
      <w:pPr>
        <w:pStyle w:val="ListBullet2"/>
        <w:spacing w:before="0" w:after="40"/>
      </w:pPr>
      <w:r>
        <w:t>Given I hold both identities, when I want to switch between them, then I can do so without signing in again.</w:t>
      </w:r>
    </w:p>
    <w:p>
      <w:pPr>
        <w:pStyle w:val="Caption2"/>
      </w:pPr>
      <w:r>
        <w:t>Persona: Anjali   |   Detailed behaviour: FRS §4.1</w:t>
      </w:r>
    </w:p>
    <w:p>
      <w:pPr>
        <w:pStyle w:val="Heading2"/>
      </w:pPr>
      <w:r>
        <w:t>5.2  Organisation and Team</w:t>
      </w:r>
    </w:p>
    <w:p>
      <w:pPr>
        <w:spacing w:before="160" w:after="40"/>
      </w:pPr>
      <w:r>
        <w:rPr>
          <w:rStyle w:val="ReqID"/>
        </w:rPr>
        <w:t xml:space="preserve">US-04 </w:t>
      </w:r>
      <w:r>
        <w:rPr>
          <w:b/>
          <w:color w:val="B02A2A"/>
        </w:rPr>
        <w:t xml:space="preserve">[P0] </w:t>
      </w:r>
      <w:r>
        <w:t>As an Owner, I want to invite a colleague to help manage vacancies, so that hiring is not bottlenecked on one person’s login.</w:t>
      </w:r>
    </w:p>
    <w:p>
      <w:pPr>
        <w:pStyle w:val="BRHead"/>
      </w:pPr>
      <w:r>
        <w:t>Acceptance Criteria</w:t>
      </w:r>
    </w:p>
    <w:p>
      <w:pPr>
        <w:pStyle w:val="ListBullet2"/>
        <w:spacing w:before="0" w:after="40"/>
      </w:pPr>
      <w:r>
        <w:t>Given I invite a colleague as an Admin, when they accept, then they can create, edit and publish vacancies but cannot delete the organisation or change its details.</w:t>
      </w:r>
    </w:p>
    <w:p>
      <w:pPr>
        <w:pStyle w:val="ListBullet2"/>
        <w:spacing w:before="0" w:after="40"/>
      </w:pPr>
      <w:r>
        <w:t>Given I am an Admin, when I try to invite someone as a fellow Admin, then the invitation is refused — I may only invite a Member.</w:t>
      </w:r>
    </w:p>
    <w:p>
      <w:pPr>
        <w:pStyle w:val="Caption2"/>
      </w:pPr>
      <w:r>
        <w:t>Persona: Rajesh   |   Detailed behaviour: FRS §4.2</w:t>
      </w:r>
    </w:p>
    <w:p>
      <w:pPr>
        <w:spacing w:before="160" w:after="40"/>
      </w:pPr>
      <w:r>
        <w:rPr>
          <w:rStyle w:val="ReqID"/>
        </w:rPr>
        <w:t xml:space="preserve">US-05 </w:t>
      </w:r>
      <w:r>
        <w:rPr>
          <w:b/>
          <w:color w:val="B02A2A"/>
        </w:rPr>
        <w:t xml:space="preserve">[P0] </w:t>
      </w:r>
      <w:r>
        <w:t>As the sole Owner of my organisation, I want to be prevented from accidentally leaving it leaderless, so that a moment’s carelessness never orphans a live vacancy and its applicants.</w:t>
      </w:r>
    </w:p>
    <w:p>
      <w:pPr>
        <w:pStyle w:val="BRHead"/>
      </w:pPr>
      <w:r>
        <w:t>Acceptance Criteria</w:t>
      </w:r>
    </w:p>
    <w:p>
      <w:pPr>
        <w:pStyle w:val="ListBullet2"/>
        <w:spacing w:before="0" w:after="40"/>
      </w:pPr>
      <w:r>
        <w:t>Given I am the only Owner, when I try to leave, remove myself, or delete my account, then the action is refused and I am shown exactly how to hand ownership to a colleague first.</w:t>
      </w:r>
    </w:p>
    <w:p>
      <w:pPr>
        <w:pStyle w:val="Caption2"/>
      </w:pPr>
      <w:r>
        <w:t>Persona: Rajesh   |   Detailed behaviour: FRS §4.2</w:t>
      </w:r>
    </w:p>
    <w:p>
      <w:r>
        <w:br w:type="page"/>
      </w:r>
    </w:p>
    <w:p>
      <w:pPr>
        <w:pStyle w:val="Heading2"/>
      </w:pPr>
      <w:r>
        <w:t>5.3  Skill Profile and Taxonomy Search</w:t>
      </w:r>
    </w:p>
    <w:p>
      <w:pPr>
        <w:spacing w:before="160" w:after="40"/>
      </w:pPr>
      <w:r>
        <w:rPr>
          <w:rStyle w:val="ReqID"/>
        </w:rPr>
        <w:t xml:space="preserve">US-06 </w:t>
      </w:r>
      <w:r>
        <w:rPr>
          <w:b/>
          <w:color w:val="B02A2A"/>
        </w:rPr>
        <w:t xml:space="preserve">[P0] </w:t>
      </w:r>
      <w:r>
        <w:t>As a candidate, I want to describe my skills by naming the job I already do, so that I never have to search a list of technical standards I have never heard the names of.</w:t>
      </w:r>
    </w:p>
    <w:p>
      <w:pPr>
        <w:pStyle w:val="BRHead"/>
      </w:pPr>
      <w:r>
        <w:t>Acceptance Criteria</w:t>
      </w:r>
    </w:p>
    <w:p>
      <w:pPr>
        <w:pStyle w:val="ListBullet2"/>
        <w:spacing w:before="0" w:after="40"/>
      </w:pPr>
      <w:r>
        <w:t>Given I type “ward boy”, when I search, then the matching Qualification Pack and its standards are shown to me in plain terms.</w:t>
      </w:r>
    </w:p>
    <w:p>
      <w:pPr>
        <w:pStyle w:val="ListBullet2"/>
        <w:spacing w:before="0" w:after="40"/>
      </w:pPr>
      <w:r>
        <w:t>Given I see the standards for my role, when I tick the ones I can do, then they are added to my profile immediately.</w:t>
      </w:r>
    </w:p>
    <w:p>
      <w:pPr>
        <w:pStyle w:val="Caption2"/>
      </w:pPr>
      <w:r>
        <w:t>Persona: Anjali   |   Detailed behaviour: FRS §4.3, 4.4</w:t>
      </w:r>
    </w:p>
    <w:p>
      <w:pPr>
        <w:spacing w:before="160" w:after="40"/>
      </w:pPr>
      <w:r>
        <w:rPr>
          <w:rStyle w:val="ReqID"/>
        </w:rPr>
        <w:t xml:space="preserve">US-07 </w:t>
      </w:r>
      <w:r>
        <w:rPr>
          <w:b/>
          <w:color w:val="B0760E"/>
        </w:rPr>
        <w:t xml:space="preserve">[P1] </w:t>
      </w:r>
      <w:r>
        <w:t>As a candidate whose job role is not covered by the common-name search, I want to search the standards directly, so that I am never blocked from declaring a skill I genuinely have.</w:t>
      </w:r>
    </w:p>
    <w:p>
      <w:pPr>
        <w:pStyle w:val="BRHead"/>
      </w:pPr>
      <w:r>
        <w:t>Acceptance Criteria</w:t>
      </w:r>
    </w:p>
    <w:p>
      <w:pPr>
        <w:pStyle w:val="ListBullet2"/>
        <w:spacing w:before="0" w:after="40"/>
      </w:pPr>
      <w:r>
        <w:t>Given the role search finds nothing useful, when I search standards by keyword instead, then I can find and add the standard directly.</w:t>
      </w:r>
    </w:p>
    <w:p>
      <w:pPr>
        <w:pStyle w:val="Caption2"/>
      </w:pPr>
      <w:r>
        <w:t>Persona: Anjali   |   Detailed behaviour: FRS §4.3, 4.4</w:t>
      </w:r>
    </w:p>
    <w:p>
      <w:pPr>
        <w:pStyle w:val="Heading2"/>
      </w:pPr>
      <w:r>
        <w:t>5.4  Matching and Skill Gap</w:t>
      </w:r>
    </w:p>
    <w:p>
      <w:pPr>
        <w:spacing w:before="160" w:after="40"/>
      </w:pPr>
      <w:r>
        <w:rPr>
          <w:rStyle w:val="ReqID"/>
        </w:rPr>
        <w:t xml:space="preserve">US-08 </w:t>
      </w:r>
      <w:r>
        <w:rPr>
          <w:b/>
          <w:color w:val="B02A2A"/>
        </w:rPr>
        <w:t xml:space="preserve">[P0] </w:t>
      </w:r>
      <w:r>
        <w:t>As a candidate, I want to see every vacancy ranked by how well I match it, so that I spend my time on the jobs I actually have a real shot at.</w:t>
      </w:r>
    </w:p>
    <w:p>
      <w:pPr>
        <w:pStyle w:val="BRHead"/>
      </w:pPr>
      <w:r>
        <w:t>Acceptance Criteria</w:t>
      </w:r>
    </w:p>
    <w:p>
      <w:pPr>
        <w:pStyle w:val="ListBullet2"/>
        <w:spacing w:before="0" w:after="40"/>
      </w:pPr>
      <w:r>
        <w:t>Given I have declared at least one skill, when I open my matches, then every open vacancy is scored and shown ranked, highest first.</w:t>
      </w:r>
    </w:p>
    <w:p>
      <w:pPr>
        <w:pStyle w:val="ListBullet2"/>
        <w:spacing w:before="0" w:after="40"/>
      </w:pPr>
      <w:r>
        <w:t>Given I share no required standard with a vacancy, when it is scored, then it shows a score of zero rather than a misleadingly small positive number.</w:t>
      </w:r>
    </w:p>
    <w:p>
      <w:pPr>
        <w:pStyle w:val="Caption2"/>
      </w:pPr>
      <w:r>
        <w:t>Persona: Anjali   |   Detailed behaviour: FRS §4.7</w:t>
      </w:r>
    </w:p>
    <w:p>
      <w:pPr>
        <w:spacing w:before="160" w:after="40"/>
      </w:pPr>
      <w:r>
        <w:rPr>
          <w:rStyle w:val="ReqID"/>
        </w:rPr>
        <w:t xml:space="preserve">US-09 </w:t>
      </w:r>
      <w:r>
        <w:rPr>
          <w:b/>
          <w:color w:val="B02A2A"/>
        </w:rPr>
        <w:t xml:space="preserve">[P0] </w:t>
      </w:r>
      <w:r>
        <w:t>As a candidate who is not fully qualified for a role I want, I want to see exactly what I am missing and which course would close that gap, so that I have a concrete next step instead of a discouraging “no”.</w:t>
      </w:r>
    </w:p>
    <w:p>
      <w:pPr>
        <w:pStyle w:val="BRHead"/>
      </w:pPr>
      <w:r>
        <w:t>Acceptance Criteria</w:t>
      </w:r>
    </w:p>
    <w:p>
      <w:pPr>
        <w:pStyle w:val="ListBullet2"/>
        <w:spacing w:before="0" w:after="40"/>
      </w:pPr>
      <w:r>
        <w:t>Given I open a partial match, when the gap is computed, then I see the missing standards named, with the mandatory ones flagged.</w:t>
      </w:r>
    </w:p>
    <w:p>
      <w:pPr>
        <w:pStyle w:val="ListBullet2"/>
        <w:spacing w:before="0" w:after="40"/>
      </w:pPr>
      <w:r>
        <w:t>Given a gap exists, when courses are recommended, then the course closing the most of my mandatory gap is always shown first.</w:t>
      </w:r>
    </w:p>
    <w:p>
      <w:pPr>
        <w:pStyle w:val="Caption2"/>
      </w:pPr>
      <w:r>
        <w:t>Persona: Anjali   |   Detailed behaviour: FRS §4.7</w:t>
      </w:r>
    </w:p>
    <w:p>
      <w:pPr>
        <w:spacing w:before="160" w:after="40"/>
      </w:pPr>
      <w:r>
        <w:rPr>
          <w:rStyle w:val="ReqID"/>
        </w:rPr>
        <w:t xml:space="preserve">US-10 </w:t>
      </w:r>
      <w:r>
        <w:rPr>
          <w:b/>
          <w:color w:val="B0760E"/>
        </w:rPr>
        <w:t xml:space="preserve">[P1] </w:t>
      </w:r>
      <w:r>
        <w:t>As a candidate, I want vacancies near me to be shown ahead of otherwise-identical ones farther away, so that proximity matters without ever overriding a genuinely better match.</w:t>
      </w:r>
    </w:p>
    <w:p>
      <w:pPr>
        <w:pStyle w:val="BRHead"/>
      </w:pPr>
      <w:r>
        <w:t>Acceptance Criteria</w:t>
      </w:r>
    </w:p>
    <w:p>
      <w:pPr>
        <w:pStyle w:val="ListBullet2"/>
        <w:spacing w:before="0" w:after="40"/>
      </w:pPr>
      <w:r>
        <w:t>Given two vacancies score identically, when they are ordered, then the one in my district or state is shown first.</w:t>
      </w:r>
    </w:p>
    <w:p>
      <w:pPr>
        <w:pStyle w:val="ListBullet2"/>
        <w:spacing w:before="0" w:after="40"/>
      </w:pPr>
      <w:r>
        <w:t>Given a vacancy farther away scores higher, when results are ordered, then it is never pushed below a closer but lower-scoring one.</w:t>
      </w:r>
    </w:p>
    <w:p>
      <w:pPr>
        <w:pStyle w:val="Caption2"/>
      </w:pPr>
      <w:r>
        <w:t>Persona: Anjali   |   Detailed behaviour: FRS §4.7</w:t>
      </w:r>
    </w:p>
    <w:p>
      <w:r>
        <w:br w:type="page"/>
      </w:r>
    </w:p>
    <w:p>
      <w:pPr>
        <w:pStyle w:val="Heading2"/>
      </w:pPr>
      <w:r>
        <w:t>5.5  Job Publishing and Applications</w:t>
      </w:r>
    </w:p>
    <w:p>
      <w:pPr>
        <w:spacing w:before="160" w:after="40"/>
      </w:pPr>
      <w:r>
        <w:rPr>
          <w:rStyle w:val="ReqID"/>
        </w:rPr>
        <w:t xml:space="preserve">US-11 </w:t>
      </w:r>
      <w:r>
        <w:rPr>
          <w:b/>
          <w:color w:val="B02A2A"/>
        </w:rPr>
        <w:t xml:space="preserve">[P0] </w:t>
      </w:r>
      <w:r>
        <w:t>As an employer, I want to publish a vacancy decomposed into the standards it requires, so that candidates are matched against what the job actually needs, not a keyword.</w:t>
      </w:r>
    </w:p>
    <w:p>
      <w:pPr>
        <w:pStyle w:val="BRHead"/>
      </w:pPr>
      <w:r>
        <w:t>Acceptance Criteria</w:t>
      </w:r>
    </w:p>
    <w:p>
      <w:pPr>
        <w:pStyle w:val="ListBullet2"/>
        <w:spacing w:before="0" w:after="40"/>
      </w:pPr>
      <w:r>
        <w:t>Given I try to publish a vacancy with no required standard, when I submit, then publishing is refused and I am told why.</w:t>
      </w:r>
    </w:p>
    <w:p>
      <w:pPr>
        <w:pStyle w:val="ListBullet2"/>
        <w:spacing w:before="0" w:after="40"/>
      </w:pPr>
      <w:r>
        <w:t>Given I add at least one required standard, when I publish, then the vacancy becomes visible to matching candidates immediately.</w:t>
      </w:r>
    </w:p>
    <w:p>
      <w:pPr>
        <w:pStyle w:val="Caption2"/>
      </w:pPr>
      <w:r>
        <w:t>Persona: Rajesh   |   Detailed behaviour: FRS §4.5</w:t>
      </w:r>
    </w:p>
    <w:p>
      <w:pPr>
        <w:spacing w:before="160" w:after="40"/>
      </w:pPr>
      <w:r>
        <w:rPr>
          <w:rStyle w:val="ReqID"/>
        </w:rPr>
        <w:t xml:space="preserve">US-12 </w:t>
      </w:r>
      <w:r>
        <w:rPr>
          <w:b/>
          <w:color w:val="B02A2A"/>
        </w:rPr>
        <w:t xml:space="preserve">[P0] </w:t>
      </w:r>
      <w:r>
        <w:t>As a candidate, I want to apply to a matched vacancy in one action, so that applying is not a barrier after I have already found the right job.</w:t>
      </w:r>
    </w:p>
    <w:p>
      <w:pPr>
        <w:pStyle w:val="BRHead"/>
      </w:pPr>
      <w:r>
        <w:t>Acceptance Criteria</w:t>
      </w:r>
    </w:p>
    <w:p>
      <w:pPr>
        <w:pStyle w:val="ListBullet2"/>
        <w:spacing w:before="0" w:after="40"/>
      </w:pPr>
      <w:r>
        <w:t>Given I open a vacancy I am eligible for, when I apply, then my name and contact details reach that employer for that vacancy only — nowhere else on the platform.</w:t>
      </w:r>
    </w:p>
    <w:p>
      <w:pPr>
        <w:pStyle w:val="ListBullet2"/>
        <w:spacing w:before="0" w:after="40"/>
      </w:pPr>
      <w:r>
        <w:t>Given I withdraw an application, when I do, then that employer immediately loses access to my contact details.</w:t>
      </w:r>
    </w:p>
    <w:p>
      <w:pPr>
        <w:pStyle w:val="Caption2"/>
      </w:pPr>
      <w:r>
        <w:t>Persona: Anjali   |   Detailed behaviour: FRS §4.8</w:t>
      </w:r>
    </w:p>
    <w:p>
      <w:pPr>
        <w:spacing w:before="160" w:after="40"/>
      </w:pPr>
      <w:r>
        <w:rPr>
          <w:rStyle w:val="ReqID"/>
        </w:rPr>
        <w:t xml:space="preserve">US-13 </w:t>
      </w:r>
      <w:r>
        <w:rPr>
          <w:b/>
          <w:color w:val="B02A2A"/>
        </w:rPr>
        <w:t xml:space="preserve">[P0] </w:t>
      </w:r>
      <w:r>
        <w:t>As an employer, I want a vacancy to close itself once I have hired enough people, so that I am never accidentally still receiving applications for a role I have already filled.</w:t>
      </w:r>
    </w:p>
    <w:p>
      <w:pPr>
        <w:pStyle w:val="BRHead"/>
      </w:pPr>
      <w:r>
        <w:t>Acceptance Criteria</w:t>
      </w:r>
    </w:p>
    <w:p>
      <w:pPr>
        <w:pStyle w:val="ListBullet2"/>
        <w:spacing w:before="0" w:after="40"/>
      </w:pPr>
      <w:r>
        <w:t>Given I mark enough candidates Hired to reach the stated number of positions, when the last one is confirmed, then the vacancy closes automatically, keeping its page and inbox reachable.</w:t>
      </w:r>
    </w:p>
    <w:p>
      <w:pPr>
        <w:pStyle w:val="Caption2"/>
      </w:pPr>
      <w:r>
        <w:t>Persona: Rajesh   |   Detailed behaviour: FRS §4.5, 4.10</w:t>
      </w:r>
    </w:p>
    <w:p>
      <w:pPr>
        <w:pStyle w:val="Heading2"/>
      </w:pPr>
      <w:r>
        <w:t>5.6  Course Publishing and Interest</w:t>
      </w:r>
    </w:p>
    <w:p>
      <w:pPr>
        <w:spacing w:before="160" w:after="40"/>
      </w:pPr>
      <w:r>
        <w:rPr>
          <w:rStyle w:val="ReqID"/>
        </w:rPr>
        <w:t xml:space="preserve">US-14 </w:t>
      </w:r>
      <w:r>
        <w:rPr>
          <w:b/>
          <w:color w:val="B02A2A"/>
        </w:rPr>
        <w:t xml:space="preserve">[P0] </w:t>
      </w:r>
      <w:r>
        <w:t>As a training provider, I want to publish a course anchored to the standards it teaches, so that it is recommended to exactly the candidates whose gap it closes.</w:t>
      </w:r>
    </w:p>
    <w:p>
      <w:pPr>
        <w:pStyle w:val="BRHead"/>
      </w:pPr>
      <w:r>
        <w:t>Acceptance Criteria</w:t>
      </w:r>
    </w:p>
    <w:p>
      <w:pPr>
        <w:pStyle w:val="ListBullet2"/>
        <w:spacing w:before="0" w:after="40"/>
      </w:pPr>
      <w:r>
        <w:t>Given I try to publish a course teaching no standard, when I submit, then publishing is refused.</w:t>
      </w:r>
    </w:p>
    <w:p>
      <w:pPr>
        <w:pStyle w:val="ListBullet2"/>
        <w:spacing w:before="0" w:after="40"/>
      </w:pPr>
      <w:r>
        <w:t>Given I add the standards taught and publish, when a candidate’s computed gap includes one of them, then my course becomes eligible to be recommended to that candidate.</w:t>
      </w:r>
    </w:p>
    <w:p>
      <w:pPr>
        <w:pStyle w:val="Caption2"/>
      </w:pPr>
      <w:r>
        <w:t>Persona: Meera   |   Detailed behaviour: FRS §4.6</w:t>
      </w:r>
    </w:p>
    <w:p>
      <w:pPr>
        <w:spacing w:before="160" w:after="40"/>
      </w:pPr>
      <w:r>
        <w:rPr>
          <w:rStyle w:val="ReqID"/>
        </w:rPr>
        <w:t xml:space="preserve">US-15 </w:t>
      </w:r>
      <w:r>
        <w:rPr>
          <w:b/>
          <w:color w:val="B02A2A"/>
        </w:rPr>
        <w:t xml:space="preserve">[P0] </w:t>
      </w:r>
      <w:r>
        <w:t>As a candidate, I want to register interest in a recommended course with one action, so that reaching out to a provider is as easy as applying to a job.</w:t>
      </w:r>
    </w:p>
    <w:p>
      <w:pPr>
        <w:pStyle w:val="BRHead"/>
      </w:pPr>
      <w:r>
        <w:t>Acceptance Criteria</w:t>
      </w:r>
    </w:p>
    <w:p>
      <w:pPr>
        <w:pStyle w:val="ListBullet2"/>
        <w:spacing w:before="0" w:after="40"/>
      </w:pPr>
      <w:r>
        <w:t>Given I register interest in a course, when I do, then the provider gains my contact details and any note I added, for that course only.</w:t>
      </w:r>
    </w:p>
    <w:p>
      <w:pPr>
        <w:pStyle w:val="Caption2"/>
      </w:pPr>
      <w:r>
        <w:t>Persona: Anjali   |   Detailed behaviour: FRS §4.9</w:t>
      </w:r>
    </w:p>
    <w:p>
      <w:pPr>
        <w:spacing w:before="160" w:after="40"/>
      </w:pPr>
      <w:r>
        <w:rPr>
          <w:rStyle w:val="ReqID"/>
        </w:rPr>
        <w:t xml:space="preserve">US-16 </w:t>
      </w:r>
      <w:r>
        <w:rPr>
          <w:b/>
          <w:color w:val="B0760E"/>
        </w:rPr>
        <w:t xml:space="preserve">[P1] </w:t>
      </w:r>
      <w:r>
        <w:t>As a training provider, I want to see who has registered interest without a confusing score attached, so that I follow up with a person, not a ranking.</w:t>
      </w:r>
    </w:p>
    <w:p>
      <w:pPr>
        <w:pStyle w:val="BRHead"/>
      </w:pPr>
      <w:r>
        <w:t>Acceptance Criteria</w:t>
      </w:r>
    </w:p>
    <w:p>
      <w:pPr>
        <w:pStyle w:val="ListBullet2"/>
        <w:spacing w:before="0" w:after="40"/>
      </w:pPr>
      <w:r>
        <w:t>Given a learner registers interest, when I open my inbox, then I see their contact details and note, and no score, coverage percentage or ranking of any kind.</w:t>
      </w:r>
    </w:p>
    <w:p>
      <w:pPr>
        <w:pStyle w:val="Caption2"/>
      </w:pPr>
      <w:r>
        <w:t>Persona: Meera   |   Detailed behaviour: FRS §4.9</w:t>
      </w:r>
    </w:p>
    <w:p>
      <w:r>
        <w:br w:type="page"/>
      </w:r>
    </w:p>
    <w:p>
      <w:pPr>
        <w:pStyle w:val="Heading2"/>
      </w:pPr>
      <w:r>
        <w:t>5.7  Employer Console</w:t>
      </w:r>
    </w:p>
    <w:p>
      <w:pPr>
        <w:spacing w:before="160" w:after="40"/>
      </w:pPr>
      <w:r>
        <w:rPr>
          <w:rStyle w:val="ReqID"/>
        </w:rPr>
        <w:t xml:space="preserve">US-17 </w:t>
      </w:r>
      <w:r>
        <w:rPr>
          <w:b/>
          <w:color w:val="B02A2A"/>
        </w:rPr>
        <w:t xml:space="preserve">[P0] </w:t>
      </w:r>
      <w:r>
        <w:t>As an employer, I want to see a ranked candidate pool for my open vacancies without seeing who anyone is until they apply, so that I can gauge my hiring odds before committing to screening anyone.</w:t>
      </w:r>
    </w:p>
    <w:p>
      <w:pPr>
        <w:pStyle w:val="BRHead"/>
      </w:pPr>
      <w:r>
        <w:t>Acceptance Criteria</w:t>
      </w:r>
    </w:p>
    <w:p>
      <w:pPr>
        <w:pStyle w:val="ListBullet2"/>
        <w:spacing w:before="0" w:after="40"/>
      </w:pPr>
      <w:r>
        <w:t>Given I open a published vacancy’s pool, when candidates are shown, then each is de-identified — a reference, headline, district, experience and gap, never a name or contact detail — until they have applied.</w:t>
      </w:r>
    </w:p>
    <w:p>
      <w:pPr>
        <w:pStyle w:val="Caption2"/>
      </w:pPr>
      <w:r>
        <w:t>Persona: Rajesh   |   Detailed behaviour: FRS §4.10</w:t>
      </w:r>
    </w:p>
    <w:p>
      <w:pPr>
        <w:spacing w:before="160" w:after="40"/>
      </w:pPr>
      <w:r>
        <w:rPr>
          <w:rStyle w:val="ReqID"/>
        </w:rPr>
        <w:t xml:space="preserve">US-18 </w:t>
      </w:r>
      <w:r>
        <w:rPr>
          <w:b/>
          <w:color w:val="B0760E"/>
        </w:rPr>
        <w:t xml:space="preserve">[P1] </w:t>
      </w:r>
      <w:r>
        <w:t>As an employer, I want to know which required skills are hardest to find across my open roles, so that I know where to focus sourcing or training effort.</w:t>
      </w:r>
    </w:p>
    <w:p>
      <w:pPr>
        <w:pStyle w:val="BRHead"/>
      </w:pPr>
      <w:r>
        <w:t>Acceptance Criteria</w:t>
      </w:r>
    </w:p>
    <w:p>
      <w:pPr>
        <w:pStyle w:val="ListBullet2"/>
        <w:spacing w:before="0" w:after="40"/>
      </w:pPr>
      <w:r>
        <w:t>Given I have open vacancies, when I view my overview, then the required standards held by the fewest matched candidates are highlighted.</w:t>
      </w:r>
    </w:p>
    <w:p>
      <w:pPr>
        <w:pStyle w:val="Caption2"/>
      </w:pPr>
      <w:r>
        <w:t>Persona: Rajesh   |   Detailed behaviour: FRS §4.10</w:t>
      </w:r>
    </w:p>
    <w:p>
      <w:pPr>
        <w:pStyle w:val="Heading2"/>
      </w:pPr>
      <w:r>
        <w:t>5.8  Notifications and Alerts</w:t>
      </w:r>
    </w:p>
    <w:p>
      <w:pPr>
        <w:spacing w:before="160" w:after="40"/>
      </w:pPr>
      <w:r>
        <w:rPr>
          <w:rStyle w:val="ReqID"/>
        </w:rPr>
        <w:t xml:space="preserve">US-19 </w:t>
      </w:r>
      <w:r>
        <w:rPr>
          <w:b/>
          <w:color w:val="B02A2A"/>
        </w:rPr>
        <w:t xml:space="preserve">[P0] </w:t>
      </w:r>
      <w:r>
        <w:t>As a candidate, I want to be told about a strong new vacancy without having to go looking for it, so that I do not miss an opportunity simply because I did not check the app that day.</w:t>
      </w:r>
    </w:p>
    <w:p>
      <w:pPr>
        <w:pStyle w:val="BRHead"/>
      </w:pPr>
      <w:r>
        <w:t>Acceptance Criteria</w:t>
      </w:r>
    </w:p>
    <w:p>
      <w:pPr>
        <w:pStyle w:val="ListBullet2"/>
        <w:spacing w:before="0" w:after="40"/>
      </w:pPr>
      <w:r>
        <w:t>Given a new vacancy matches my declared skills, when the platform’s background check runs, then I am alerted — at most once ever for that specific vacancy.</w:t>
      </w:r>
    </w:p>
    <w:p>
      <w:pPr>
        <w:pStyle w:val="ListBullet2"/>
        <w:spacing w:before="0" w:after="40"/>
      </w:pPr>
      <w:r>
        <w:t>Given I would rather not receive these, when I turn job alerts off, then I stop receiving them entirely.</w:t>
      </w:r>
    </w:p>
    <w:p>
      <w:pPr>
        <w:pStyle w:val="Caption2"/>
      </w:pPr>
      <w:r>
        <w:t>Persona: Anjali   |   Detailed behaviour: FRS §4.11</w:t>
      </w:r>
    </w:p>
    <w:p>
      <w:pPr>
        <w:spacing w:before="160" w:after="40"/>
      </w:pPr>
      <w:r>
        <w:rPr>
          <w:rStyle w:val="ReqID"/>
        </w:rPr>
        <w:t xml:space="preserve">US-20 </w:t>
      </w:r>
      <w:r>
        <w:rPr>
          <w:b/>
          <w:color w:val="B02A2A"/>
        </w:rPr>
        <w:t xml:space="preserve">[P0] </w:t>
      </w:r>
      <w:r>
        <w:t>As an employer, I want to know the moment an application’s status affects a candidate, so that the platform, not silence, tells them what happened.</w:t>
      </w:r>
    </w:p>
    <w:p>
      <w:pPr>
        <w:pStyle w:val="BRHead"/>
      </w:pPr>
      <w:r>
        <w:t>Acceptance Criteria</w:t>
      </w:r>
    </w:p>
    <w:p>
      <w:pPr>
        <w:pStyle w:val="ListBullet2"/>
        <w:spacing w:before="0" w:after="40"/>
      </w:pPr>
      <w:r>
        <w:t>Given I shortlist, reject or hire an applicant, when I confirm the action, then the candidate is notified of the change.</w:t>
      </w:r>
    </w:p>
    <w:p>
      <w:pPr>
        <w:pStyle w:val="Caption2"/>
      </w:pPr>
      <w:r>
        <w:t>Persona: Rajesh   |   Detailed behaviour: FRS §4.8, 4.11</w:t>
      </w:r>
    </w:p>
    <w:p>
      <w:pPr>
        <w:pStyle w:val="Heading2"/>
      </w:pPr>
      <w:r>
        <w:t>5.9  Trust and Verification</w:t>
      </w:r>
    </w:p>
    <w:p>
      <w:pPr>
        <w:spacing w:before="160" w:after="40"/>
      </w:pPr>
      <w:r>
        <w:rPr>
          <w:rStyle w:val="ReqID"/>
        </w:rPr>
        <w:t xml:space="preserve">US-21 </w:t>
      </w:r>
      <w:r>
        <w:rPr>
          <w:b/>
          <w:color w:val="B02A2A"/>
        </w:rPr>
        <w:t xml:space="preserve">[P0] </w:t>
      </w:r>
      <w:r>
        <w:t>As a platform operator, I want to grant a verified badge only with a recorded reason, so that a badge on screen always means something checked, never a rubber stamp.</w:t>
      </w:r>
    </w:p>
    <w:p>
      <w:pPr>
        <w:pStyle w:val="BRHead"/>
      </w:pPr>
      <w:r>
        <w:t>Acceptance Criteria</w:t>
      </w:r>
    </w:p>
    <w:p>
      <w:pPr>
        <w:pStyle w:val="ListBullet2"/>
        <w:spacing w:before="0" w:after="40"/>
      </w:pPr>
      <w:r>
        <w:t>Given I try to grant a badge with no justification, when I submit, then the action is refused.</w:t>
      </w:r>
    </w:p>
    <w:p>
      <w:pPr>
        <w:pStyle w:val="ListBullet2"/>
        <w:spacing w:before="0" w:after="40"/>
      </w:pPr>
      <w:r>
        <w:t>Given I grant a badge with a valid justification, when it is saved, then the badge appears on that organisation’s public profile everywhere it is shown.</w:t>
      </w:r>
    </w:p>
    <w:p>
      <w:pPr>
        <w:pStyle w:val="Caption2"/>
      </w:pPr>
      <w:r>
        <w:t>Persona: Operator (internal)   |   Detailed behaviour: FRS §4.12</w:t>
      </w:r>
    </w:p>
    <w:p>
      <w:pPr>
        <w:spacing w:before="160" w:after="40"/>
      </w:pPr>
      <w:r>
        <w:rPr>
          <w:rStyle w:val="ReqID"/>
        </w:rPr>
        <w:t xml:space="preserve">US-22 </w:t>
      </w:r>
      <w:r>
        <w:rPr>
          <w:b/>
          <w:color w:val="B0760E"/>
        </w:rPr>
        <w:t xml:space="preserve">[P1] </w:t>
      </w:r>
      <w:r>
        <w:t>As a candidate evaluating an employer or a course provider, I want to see whether they have been independently verified, so that I have one extra signal of trust beyond what they say about themselves.</w:t>
      </w:r>
    </w:p>
    <w:p>
      <w:pPr>
        <w:pStyle w:val="BRHead"/>
      </w:pPr>
      <w:r>
        <w:t>Acceptance Criteria</w:t>
      </w:r>
    </w:p>
    <w:p>
      <w:pPr>
        <w:pStyle w:val="ListBullet2"/>
        <w:spacing w:before="0" w:after="40"/>
      </w:pPr>
      <w:r>
        <w:t>Given an organisation has been granted a verified badge, when I view its public profile, then the badge is visible; if it has never been granted, no badge appears — it is never inferred or self-declared.</w:t>
      </w:r>
    </w:p>
    <w:p>
      <w:pPr>
        <w:pStyle w:val="Caption2"/>
      </w:pPr>
      <w:r>
        <w:t>Persona: Anjali   |   Detailed behaviour: FRS §4.12</w:t>
      </w:r>
    </w:p>
    <w:p>
      <w:pPr>
        <w:pStyle w:val="Heading2"/>
      </w:pPr>
      <w:r>
        <w:t>5.10  Privacy and Data Rights</w:t>
      </w:r>
    </w:p>
    <w:p>
      <w:pPr>
        <w:spacing w:before="160" w:after="40"/>
      </w:pPr>
      <w:r>
        <w:rPr>
          <w:rStyle w:val="ReqID"/>
        </w:rPr>
        <w:t xml:space="preserve">US-23 </w:t>
      </w:r>
      <w:r>
        <w:rPr>
          <w:b/>
          <w:color w:val="B02A2A"/>
        </w:rPr>
        <w:t xml:space="preserve">[P0] </w:t>
      </w:r>
      <w:r>
        <w:t>As any user, I want to download everything the platform holds about me, so that I am never dependent on asking someone to tell me.</w:t>
      </w:r>
    </w:p>
    <w:p>
      <w:pPr>
        <w:pStyle w:val="BRHead"/>
      </w:pPr>
      <w:r>
        <w:t>Acceptance Criteria</w:t>
      </w:r>
    </w:p>
    <w:p>
      <w:pPr>
        <w:pStyle w:val="ListBullet2"/>
        <w:spacing w:before="0" w:after="40"/>
      </w:pPr>
      <w:r>
        <w:t>Given I request a data export, when it is generated, then it includes everything the platform holds about my account and profile.</w:t>
      </w:r>
    </w:p>
    <w:p>
      <w:pPr>
        <w:pStyle w:val="Caption2"/>
      </w:pPr>
      <w:r>
        <w:t>Persona: Anjali   |   Detailed behaviour: FRS §4.13</w:t>
      </w:r>
    </w:p>
    <w:p>
      <w:pPr>
        <w:spacing w:before="160" w:after="40"/>
      </w:pPr>
      <w:r>
        <w:rPr>
          <w:rStyle w:val="ReqID"/>
        </w:rPr>
        <w:t xml:space="preserve">US-24 </w:t>
      </w:r>
      <w:r>
        <w:rPr>
          <w:b/>
          <w:color w:val="B02A2A"/>
        </w:rPr>
        <w:t xml:space="preserve">[P0] </w:t>
      </w:r>
      <w:r>
        <w:t>As any user, I want to permanently delete my account and know exactly what that removes beforehand, so that I am never surprised by an irreversible action.</w:t>
      </w:r>
    </w:p>
    <w:p>
      <w:pPr>
        <w:pStyle w:val="BRHead"/>
      </w:pPr>
      <w:r>
        <w:t>Acceptance Criteria</w:t>
      </w:r>
    </w:p>
    <w:p>
      <w:pPr>
        <w:pStyle w:val="ListBullet2"/>
        <w:spacing w:before="0" w:after="40"/>
      </w:pPr>
      <w:r>
        <w:t>Given I request deletion, when a preview is shown, then it names exactly what will be removed and who else, if anyone, is affected.</w:t>
      </w:r>
    </w:p>
    <w:p>
      <w:pPr>
        <w:pStyle w:val="Caption2"/>
      </w:pPr>
      <w:r>
        <w:t>Persona: Anjali   |   Detailed behaviour: FRS §4.13</w:t>
      </w:r>
    </w:p>
    <w:p>
      <w:pPr>
        <w:pStyle w:val="Heading2"/>
      </w:pPr>
      <w:r>
        <w:t>5.11  Localisation</w:t>
      </w:r>
    </w:p>
    <w:p>
      <w:pPr>
        <w:spacing w:before="160" w:after="40"/>
      </w:pPr>
      <w:r>
        <w:rPr>
          <w:rStyle w:val="ReqID"/>
        </w:rPr>
        <w:t xml:space="preserve">US-25 </w:t>
      </w:r>
      <w:r>
        <w:rPr>
          <w:b/>
          <w:color w:val="B02A2A"/>
        </w:rPr>
        <w:t xml:space="preserve">[P0] </w:t>
      </w:r>
      <w:r>
        <w:t>As a candidate who reads Hindi more comfortably than English, I want the entire platform in Hindi, so that language is never the reason I cannot use it.</w:t>
      </w:r>
    </w:p>
    <w:p>
      <w:pPr>
        <w:pStyle w:val="BRHead"/>
      </w:pPr>
      <w:r>
        <w:t>Acceptance Criteria</w:t>
      </w:r>
    </w:p>
    <w:p>
      <w:pPr>
        <w:pStyle w:val="ListBullet2"/>
        <w:spacing w:before="0" w:after="40"/>
      </w:pPr>
      <w:r>
        <w:t>Given my browser or account preference is set to Hindi, when I use the platform, then every screen, label and message is shown in Hindi — never a mix of the two languages on one screen.</w:t>
      </w:r>
    </w:p>
    <w:p>
      <w:pPr>
        <w:pStyle w:val="Caption2"/>
      </w:pPr>
      <w:r>
        <w:t>Persona: Anjali   |   Detailed behaviour: FRS §4.15</w:t>
      </w:r>
    </w:p>
    <w:p>
      <w:r>
        <w:br w:type="page"/>
      </w:r>
    </w:p>
    <w:p>
      <w:pPr>
        <w:pStyle w:val="Heading1"/>
      </w:pPr>
      <w:r>
        <w:rPr>
          <w:color w:val="0F6E84"/>
        </w:rPr>
        <w:t xml:space="preserve">6  </w:t>
      </w:r>
      <w:r>
        <w:t>Design Principles</w:t>
      </w:r>
    </w:p>
    <w:p>
      <w:r>
        <w:rPr>
          <w:b w:val="0"/>
          <w:i w:val="0"/>
        </w:rPr>
        <w:t>Product-level guidance for design and engineering decisions, not a visual design specification.</w:t>
      </w:r>
    </w:p>
    <w:p>
      <w:pPr>
        <w:pStyle w:val="ListBullet"/>
        <w:spacing w:before="0" w:after="60"/>
      </w:pPr>
      <w:r>
        <w:rPr>
          <w:b/>
        </w:rPr>
        <w:t xml:space="preserve">Mobile-first, for the most constrained device on the network. </w:t>
      </w:r>
      <w:r>
        <w:t>Every screen is designed and weight-budgeted for a low-end Android phone on limited mobile data, not the newest device available to the design team.</w:t>
      </w:r>
    </w:p>
    <w:p>
      <w:pPr>
        <w:pStyle w:val="ListBullet"/>
        <w:spacing w:before="0" w:after="60"/>
      </w:pPr>
      <w:r>
        <w:rPr>
          <w:b/>
        </w:rPr>
        <w:t xml:space="preserve">A score is never shown without its reasons. </w:t>
      </w:r>
      <w:r>
        <w:t>Wherever a match, a ranking or a recommendation appears, the standards behind it are shown alongside it — a number with nothing to inspect is not an acceptable design.</w:t>
      </w:r>
    </w:p>
    <w:p>
      <w:pPr>
        <w:pStyle w:val="ListBullet"/>
        <w:spacing w:before="0" w:after="60"/>
      </w:pPr>
      <w:r>
        <w:rPr>
          <w:b/>
        </w:rPr>
        <w:t xml:space="preserve">Never collapse two different answers into one screen. </w:t>
      </w:r>
      <w:r>
        <w:t>“You are signed out” and “this is not yours to see” are shown differently everywhere, because a person needs a different next action for each.</w:t>
      </w:r>
    </w:p>
    <w:p>
      <w:pPr>
        <w:pStyle w:val="ListBullet"/>
        <w:spacing w:before="0" w:after="60"/>
      </w:pPr>
      <w:r>
        <w:rPr>
          <w:b/>
        </w:rPr>
        <w:t xml:space="preserve">Say what a control destroys, before it is pressed. </w:t>
      </w:r>
      <w:r>
        <w:t>Any irreversible action — deleting an organisation, deleting an account — states plainly, before confirmation, exactly what will be removed and who else is affected.</w:t>
      </w:r>
    </w:p>
    <w:p>
      <w:pPr>
        <w:pStyle w:val="ListBullet"/>
        <w:spacing w:before="0" w:after="60"/>
      </w:pPr>
      <w:r>
        <w:rPr>
          <w:b/>
        </w:rPr>
        <w:t xml:space="preserve">A refusal names the reason, never a generic failure. </w:t>
      </w:r>
      <w:r>
        <w:t>“Could not save” is never the final answer when the system knows why — the specific rule that was broken is always shown.</w:t>
      </w:r>
    </w:p>
    <w:p>
      <w:pPr>
        <w:pStyle w:val="ListBullet"/>
        <w:spacing w:before="0" w:after="60"/>
      </w:pPr>
      <w:r>
        <w:rPr>
          <w:b/>
        </w:rPr>
        <w:t xml:space="preserve">Hindi is not an afterthought layered onto an English design. </w:t>
      </w:r>
      <w:r>
        <w:t>Devanagari text runs roughly 15% taller than the same content in English; every screen is checked in both languages before it is considered finished, not only in English with Hindi assumed to fit.</w:t>
      </w:r>
    </w:p>
    <w:p>
      <w:r>
        <w:br w:type="page"/>
      </w:r>
    </w:p>
    <w:p>
      <w:pPr>
        <w:pStyle w:val="Heading1"/>
      </w:pPr>
      <w:r>
        <w:rPr>
          <w:color w:val="0F6E84"/>
        </w:rPr>
        <w:t xml:space="preserve">7  </w:t>
      </w:r>
      <w:r>
        <w:t>Success Metrics</w:t>
      </w:r>
    </w:p>
    <w:p>
      <w:r>
        <w:rPr>
          <w:b w:val="0"/>
          <w:i w:val="0"/>
        </w:rPr>
        <w:t>Product-level instrumentation, distinct from the company-level KPIs in the Business Requirements Document — these are the events the product actually records today, not aspirational metrics.</w:t>
      </w:r>
    </w:p>
    <w:tbl>
      <w:tblPr>
        <w:tblStyle w:val="TableGrid"/>
        <w:tblW w:type="auto" w:w="0"/>
        <w:jc w:val="center"/>
        <w:tblLayout w:type="autofit"/>
        <w:tblLook w:firstColumn="1" w:firstRow="1" w:lastColumn="0" w:lastRow="0" w:noHBand="0" w:noVBand="1" w:val="04A0"/>
      </w:tblPr>
      <w:tblGrid>
        <w:gridCol w:w="4706"/>
        <w:gridCol w:w="4706"/>
      </w:tblGrid>
      <w:tr>
        <w:tc>
          <w:tcPr>
            <w:tcW w:type="dxa" w:w="3312"/>
            <w:shd w:val="clear" w:color="auto" w:fill="0B2E4E"/>
            <w:tcMar>
              <w:top w:w="60" w:type="dxa"/>
              <w:bottom w:w="60" w:type="dxa"/>
              <w:left w:w="100" w:type="dxa"/>
              <w:right w:w="100" w:type="dxa"/>
            </w:tcMar>
            <w:vAlign w:val="center"/>
          </w:tcPr>
          <w:p>
            <w:r/>
            <w:r>
              <w:rPr>
                <w:b/>
                <w:color w:val="FFFFFF"/>
                <w:sz w:val="19"/>
              </w:rPr>
              <w:t>Metric</w:t>
            </w:r>
          </w:p>
        </w:tc>
        <w:tc>
          <w:tcPr>
            <w:tcW w:type="dxa" w:w="5328"/>
            <w:shd w:val="clear" w:color="auto" w:fill="0B2E4E"/>
            <w:tcMar>
              <w:top w:w="60" w:type="dxa"/>
              <w:bottom w:w="60" w:type="dxa"/>
              <w:left w:w="100" w:type="dxa"/>
              <w:right w:w="100" w:type="dxa"/>
            </w:tcMar>
            <w:vAlign w:val="center"/>
          </w:tcPr>
          <w:p>
            <w:r/>
            <w:r>
              <w:rPr>
                <w:b/>
                <w:color w:val="FFFFFF"/>
                <w:sz w:val="19"/>
              </w:rPr>
              <w:t>What It Tells the Product Team</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Matches viewed / gap viewed</w:t>
            </w:r>
          </w:p>
        </w:tc>
        <w:tc>
          <w:tcPr>
            <w:tcW w:type="dxa" w:w="5328"/>
            <w:shd w:val="clear" w:color="auto" w:fill="F2F4F6"/>
            <w:tcMar>
              <w:top w:w="60" w:type="dxa"/>
              <w:bottom w:w="60" w:type="dxa"/>
              <w:left w:w="100" w:type="dxa"/>
              <w:right w:w="100" w:type="dxa"/>
            </w:tcMar>
          </w:tcPr>
          <w:p>
            <w:pPr>
              <w:spacing w:before="0" w:after="0"/>
            </w:pPr>
            <w:r/>
            <w:r>
              <w:rPr>
                <w:color w:val="3C4752"/>
                <w:sz w:val="19"/>
              </w:rPr>
              <w:t>Whether candidates are reaching the core loop’s first step at all.</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Course recommended / course opened</w:t>
            </w:r>
          </w:p>
        </w:tc>
        <w:tc>
          <w:tcPr>
            <w:tcW w:type="dxa" w:w="5328"/>
            <w:shd w:val="clear" w:color="auto" w:fill="FFFFFF"/>
            <w:tcMar>
              <w:top w:w="60" w:type="dxa"/>
              <w:bottom w:w="60" w:type="dxa"/>
              <w:left w:w="100" w:type="dxa"/>
              <w:right w:w="100" w:type="dxa"/>
            </w:tcMar>
          </w:tcPr>
          <w:p>
            <w:pPr>
              <w:spacing w:before="0" w:after="0"/>
            </w:pPr>
            <w:r/>
            <w:r>
              <w:rPr>
                <w:color w:val="3C4752"/>
                <w:sz w:val="19"/>
              </w:rPr>
              <w:t>Whether a recommended course is compelling enough to act on, attributable back to the specific gap it was recommended for.</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Applications submitted / withdrawn / status changed</w:t>
            </w:r>
          </w:p>
        </w:tc>
        <w:tc>
          <w:tcPr>
            <w:tcW w:type="dxa" w:w="5328"/>
            <w:shd w:val="clear" w:color="auto" w:fill="F2F4F6"/>
            <w:tcMar>
              <w:top w:w="60" w:type="dxa"/>
              <w:bottom w:w="60" w:type="dxa"/>
              <w:left w:w="100" w:type="dxa"/>
              <w:right w:w="100" w:type="dxa"/>
            </w:tcMar>
          </w:tcPr>
          <w:p>
            <w:pPr>
              <w:spacing w:before="0" w:after="0"/>
            </w:pPr>
            <w:r/>
            <w:r>
              <w:rPr>
                <w:color w:val="3C4752"/>
                <w:sz w:val="19"/>
              </w:rPr>
              <w:t>The health of the job-application funnel and how far it actually converts.</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Course interest registered / withdrawn / status changed</w:t>
            </w:r>
          </w:p>
        </w:tc>
        <w:tc>
          <w:tcPr>
            <w:tcW w:type="dxa" w:w="5328"/>
            <w:shd w:val="clear" w:color="auto" w:fill="FFFFFF"/>
            <w:tcMar>
              <w:top w:w="60" w:type="dxa"/>
              <w:bottom w:w="60" w:type="dxa"/>
              <w:left w:w="100" w:type="dxa"/>
              <w:right w:w="100" w:type="dxa"/>
            </w:tcMar>
          </w:tcPr>
          <w:p>
            <w:pPr>
              <w:spacing w:before="0" w:after="0"/>
            </w:pPr>
            <w:r/>
            <w:r>
              <w:rPr>
                <w:color w:val="3C4752"/>
                <w:sz w:val="19"/>
              </w:rPr>
              <w:t>The equivalent funnel for the course-provider side of the platform.</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Role suggested / skills bulk added</w:t>
            </w:r>
          </w:p>
        </w:tc>
        <w:tc>
          <w:tcPr>
            <w:tcW w:type="dxa" w:w="5328"/>
            <w:shd w:val="clear" w:color="auto" w:fill="F2F4F6"/>
            <w:tcMar>
              <w:top w:w="60" w:type="dxa"/>
              <w:bottom w:w="60" w:type="dxa"/>
              <w:left w:w="100" w:type="dxa"/>
              <w:right w:w="100" w:type="dxa"/>
            </w:tcMar>
          </w:tcPr>
          <w:p>
            <w:pPr>
              <w:spacing w:before="0" w:after="0"/>
            </w:pPr>
            <w:r/>
            <w:r>
              <w:rPr>
                <w:color w:val="3C4752"/>
                <w:sz w:val="19"/>
              </w:rPr>
              <w:t>Whether naming a role, rather than searching standards directly, is actually how candidates build their profile — the hypothesis behind the role-search feature.</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Employer overview viewed / shortlist viewed</w:t>
            </w:r>
          </w:p>
        </w:tc>
        <w:tc>
          <w:tcPr>
            <w:tcW w:type="dxa" w:w="5328"/>
            <w:shd w:val="clear" w:color="auto" w:fill="FFFFFF"/>
            <w:tcMar>
              <w:top w:w="60" w:type="dxa"/>
              <w:bottom w:w="60" w:type="dxa"/>
              <w:left w:w="100" w:type="dxa"/>
              <w:right w:w="100" w:type="dxa"/>
            </w:tcMar>
          </w:tcPr>
          <w:p>
            <w:pPr>
              <w:spacing w:before="0" w:after="0"/>
            </w:pPr>
            <w:r/>
            <w:r>
              <w:rPr>
                <w:color w:val="3C4752"/>
                <w:sz w:val="19"/>
              </w:rPr>
              <w:t>Employer engagement with the candidate pool, without ever naming which candidate they looked at.</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Member invited / accepted / role changed</w:t>
            </w:r>
          </w:p>
        </w:tc>
        <w:tc>
          <w:tcPr>
            <w:tcW w:type="dxa" w:w="5328"/>
            <w:shd w:val="clear" w:color="auto" w:fill="F2F4F6"/>
            <w:tcMar>
              <w:top w:w="60" w:type="dxa"/>
              <w:bottom w:w="60" w:type="dxa"/>
              <w:left w:w="100" w:type="dxa"/>
              <w:right w:w="100" w:type="dxa"/>
            </w:tcMar>
          </w:tcPr>
          <w:p>
            <w:pPr>
              <w:spacing w:before="0" w:after="0"/>
            </w:pPr>
            <w:r/>
            <w:r>
              <w:rPr>
                <w:color w:val="3C4752"/>
                <w:sz w:val="19"/>
              </w:rPr>
              <w:t>Whether organisations are actually adopting team-based access rather than staying single-login.</w:t>
            </w:r>
          </w:p>
        </w:tc>
      </w:tr>
    </w:tbl>
    <w:p>
      <w:pPr>
        <w:spacing w:after="80"/>
      </w:pPr>
    </w:p>
    <w:p>
      <w:r>
        <w:rPr>
          <w:b w:val="0"/>
          <w:i w:val="0"/>
        </w:rPr>
        <w:t>Every one of these is recorded without identifying the person it happened to; the full rule set governing what may and may not appear in an event is in the Functional Requirements Specification, §4.14.</w:t>
      </w:r>
    </w:p>
    <w:p>
      <w:r>
        <w:br w:type="page"/>
      </w:r>
    </w:p>
    <w:p>
      <w:pPr>
        <w:pStyle w:val="Heading1"/>
      </w:pPr>
      <w:r>
        <w:rPr>
          <w:color w:val="0F6E84"/>
        </w:rPr>
        <w:t xml:space="preserve">8  </w:t>
      </w:r>
      <w:r>
        <w:t>Feature Prioritisation — Now, Next, Later</w:t>
      </w:r>
    </w:p>
    <w:p>
      <w:r>
        <w:rPr>
          <w:b w:val="0"/>
          <w:i w:val="0"/>
        </w:rPr>
        <w:t>Not yet built, and not a committed roadmap — the product team’s current judgement of sequencing for the same backlog described in the Business Requirements Document (§14) and the Functional Requirements Specification (§9), grouped here by how ready each is to start rather than by business value or build effort.</w:t>
      </w:r>
    </w:p>
    <w:p>
      <w:pPr>
        <w:pStyle w:val="Heading2"/>
      </w:pPr>
      <w:r>
        <w:t>8.1  Now — Extends an Existing, Already-Built Capability</w:t>
      </w:r>
    </w:p>
    <w:tbl>
      <w:tblPr>
        <w:tblStyle w:val="TableGrid"/>
        <w:tblW w:type="auto" w:w="0"/>
        <w:jc w:val="center"/>
        <w:tblLayout w:type="autofit"/>
        <w:tblLook w:firstColumn="1" w:firstRow="1" w:lastColumn="0" w:lastRow="0" w:noHBand="0" w:noVBand="1" w:val="04A0"/>
      </w:tblPr>
      <w:tblGrid>
        <w:gridCol w:w="4706"/>
        <w:gridCol w:w="4706"/>
      </w:tblGrid>
      <w:tr>
        <w:tc>
          <w:tcPr>
            <w:tcW w:type="dxa" w:w="3312"/>
            <w:shd w:val="clear" w:color="auto" w:fill="0B2E4E"/>
            <w:tcMar>
              <w:top w:w="60" w:type="dxa"/>
              <w:bottom w:w="60" w:type="dxa"/>
              <w:left w:w="100" w:type="dxa"/>
              <w:right w:w="100" w:type="dxa"/>
            </w:tcMar>
            <w:vAlign w:val="center"/>
          </w:tcPr>
          <w:p>
            <w:r/>
            <w:r>
              <w:rPr>
                <w:b/>
                <w:color w:val="FFFFFF"/>
                <w:sz w:val="19"/>
              </w:rPr>
              <w:t>Feature</w:t>
            </w:r>
          </w:p>
        </w:tc>
        <w:tc>
          <w:tcPr>
            <w:tcW w:type="dxa" w:w="5328"/>
            <w:shd w:val="clear" w:color="auto" w:fill="0B2E4E"/>
            <w:tcMar>
              <w:top w:w="60" w:type="dxa"/>
              <w:bottom w:w="60" w:type="dxa"/>
              <w:left w:w="100" w:type="dxa"/>
              <w:right w:w="100" w:type="dxa"/>
            </w:tcMar>
            <w:vAlign w:val="center"/>
          </w:tcPr>
          <w:p>
            <w:r/>
            <w:r>
              <w:rPr>
                <w:b/>
                <w:color w:val="FFFFFF"/>
                <w:sz w:val="19"/>
              </w:rPr>
              <w:t>Why It’s Ready Now</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Configurable match weighting</w:t>
            </w:r>
          </w:p>
        </w:tc>
        <w:tc>
          <w:tcPr>
            <w:tcW w:type="dxa" w:w="5328"/>
            <w:shd w:val="clear" w:color="auto" w:fill="F2F4F6"/>
            <w:tcMar>
              <w:top w:w="60" w:type="dxa"/>
              <w:bottom w:w="60" w:type="dxa"/>
              <w:left w:w="100" w:type="dxa"/>
              <w:right w:w="100" w:type="dxa"/>
            </w:tcMar>
          </w:tcPr>
          <w:p>
            <w:pPr>
              <w:spacing w:before="0" w:after="0"/>
            </w:pPr>
            <w:r/>
            <w:r>
              <w:rPr>
                <w:color w:val="3C4752"/>
                <w:sz w:val="19"/>
              </w:rPr>
              <w:t>The scoring components already exist; this is exposing an existing internal value as a setting, not new logic.</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A “not interested” signal on recommendations</w:t>
            </w:r>
          </w:p>
        </w:tc>
        <w:tc>
          <w:tcPr>
            <w:tcW w:type="dxa" w:w="5328"/>
            <w:shd w:val="clear" w:color="auto" w:fill="FFFFFF"/>
            <w:tcMar>
              <w:top w:w="60" w:type="dxa"/>
              <w:bottom w:w="60" w:type="dxa"/>
              <w:left w:w="100" w:type="dxa"/>
              <w:right w:w="100" w:type="dxa"/>
            </w:tcMar>
          </w:tcPr>
          <w:p>
            <w:pPr>
              <w:spacing w:before="0" w:after="0"/>
            </w:pPr>
            <w:r/>
            <w:r>
              <w:rPr>
                <w:color w:val="3C4752"/>
                <w:sz w:val="19"/>
              </w:rPr>
              <w:t>The served/opened instrumentation already exists (Section 7); this adds one more event of the same shape.</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Notification when a verification badge changes</w:t>
            </w:r>
          </w:p>
        </w:tc>
        <w:tc>
          <w:tcPr>
            <w:tcW w:type="dxa" w:w="5328"/>
            <w:shd w:val="clear" w:color="auto" w:fill="F2F4F6"/>
            <w:tcMar>
              <w:top w:w="60" w:type="dxa"/>
              <w:bottom w:w="60" w:type="dxa"/>
              <w:left w:w="100" w:type="dxa"/>
              <w:right w:w="100" w:type="dxa"/>
            </w:tcMar>
          </w:tcPr>
          <w:p>
            <w:pPr>
              <w:spacing w:before="0" w:after="0"/>
            </w:pPr>
            <w:r/>
            <w:r>
              <w:rPr>
                <w:color w:val="3C4752"/>
                <w:sz w:val="19"/>
              </w:rPr>
              <w:t>The notification system and the verification event log both already exist; this connects two things that are not yet wired together.</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Single-action ownership transfer</w:t>
            </w:r>
          </w:p>
        </w:tc>
        <w:tc>
          <w:tcPr>
            <w:tcW w:type="dxa" w:w="5328"/>
            <w:shd w:val="clear" w:color="auto" w:fill="FFFFFF"/>
            <w:tcMar>
              <w:top w:w="60" w:type="dxa"/>
              <w:bottom w:w="60" w:type="dxa"/>
              <w:left w:w="100" w:type="dxa"/>
              <w:right w:w="100" w:type="dxa"/>
            </w:tcMar>
          </w:tcPr>
          <w:p>
            <w:pPr>
              <w:spacing w:before="0" w:after="0"/>
            </w:pPr>
            <w:r/>
            <w:r>
              <w:rPr>
                <w:color w:val="3C4752"/>
                <w:sz w:val="19"/>
              </w:rPr>
              <w:t>Both steps (promote, then leave) already exist independently; this combines them into one guarded action.</w:t>
            </w:r>
          </w:p>
        </w:tc>
      </w:tr>
    </w:tbl>
    <w:p>
      <w:pPr>
        <w:spacing w:after="80"/>
      </w:pPr>
    </w:p>
    <w:p>
      <w:pPr>
        <w:pStyle w:val="Heading2"/>
      </w:pPr>
      <w:r>
        <w:t>8.2  Next — Needs a New Integration or Data Source</w:t>
      </w:r>
    </w:p>
    <w:tbl>
      <w:tblPr>
        <w:tblStyle w:val="TableGrid"/>
        <w:tblW w:type="auto" w:w="0"/>
        <w:jc w:val="center"/>
        <w:tblLayout w:type="autofit"/>
        <w:tblLook w:firstColumn="1" w:firstRow="1" w:lastColumn="0" w:lastRow="0" w:noHBand="0" w:noVBand="1" w:val="04A0"/>
      </w:tblPr>
      <w:tblGrid>
        <w:gridCol w:w="4706"/>
        <w:gridCol w:w="4706"/>
      </w:tblGrid>
      <w:tr>
        <w:tc>
          <w:tcPr>
            <w:tcW w:type="dxa" w:w="3312"/>
            <w:shd w:val="clear" w:color="auto" w:fill="0B2E4E"/>
            <w:tcMar>
              <w:top w:w="60" w:type="dxa"/>
              <w:bottom w:w="60" w:type="dxa"/>
              <w:left w:w="100" w:type="dxa"/>
              <w:right w:w="100" w:type="dxa"/>
            </w:tcMar>
            <w:vAlign w:val="center"/>
          </w:tcPr>
          <w:p>
            <w:r/>
            <w:r>
              <w:rPr>
                <w:b/>
                <w:color w:val="FFFFFF"/>
                <w:sz w:val="19"/>
              </w:rPr>
              <w:t>Feature</w:t>
            </w:r>
          </w:p>
        </w:tc>
        <w:tc>
          <w:tcPr>
            <w:tcW w:type="dxa" w:w="5328"/>
            <w:shd w:val="clear" w:color="auto" w:fill="0B2E4E"/>
            <w:tcMar>
              <w:top w:w="60" w:type="dxa"/>
              <w:bottom w:w="60" w:type="dxa"/>
              <w:left w:w="100" w:type="dxa"/>
              <w:right w:w="100" w:type="dxa"/>
            </w:tcMar>
            <w:vAlign w:val="center"/>
          </w:tcPr>
          <w:p>
            <w:r/>
            <w:r>
              <w:rPr>
                <w:b/>
                <w:color w:val="FFFFFF"/>
                <w:sz w:val="19"/>
              </w:rPr>
              <w:t>What It Needs First</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Assessment-provider integration</w:t>
            </w:r>
          </w:p>
        </w:tc>
        <w:tc>
          <w:tcPr>
            <w:tcW w:type="dxa" w:w="5328"/>
            <w:shd w:val="clear" w:color="auto" w:fill="F2F4F6"/>
            <w:tcMar>
              <w:top w:w="60" w:type="dxa"/>
              <w:bottom w:w="60" w:type="dxa"/>
              <w:left w:w="100" w:type="dxa"/>
              <w:right w:w="100" w:type="dxa"/>
            </w:tcMar>
          </w:tcPr>
          <w:p>
            <w:pPr>
              <w:spacing w:before="0" w:after="0"/>
            </w:pPr>
            <w:r/>
            <w:r>
              <w:rPr>
                <w:color w:val="3C4752"/>
                <w:sz w:val="19"/>
              </w:rPr>
              <w:t>A partnership and an adapter to a specific assessment vendor — the single highest-leverage improvement to match quality available, per the Business Requirements Document’s risk register.</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Résumé upload with automatic skill extraction</w:t>
            </w:r>
          </w:p>
        </w:tc>
        <w:tc>
          <w:tcPr>
            <w:tcW w:type="dxa" w:w="5328"/>
            <w:shd w:val="clear" w:color="auto" w:fill="FFFFFF"/>
            <w:tcMar>
              <w:top w:w="60" w:type="dxa"/>
              <w:bottom w:w="60" w:type="dxa"/>
              <w:left w:w="100" w:type="dxa"/>
              <w:right w:w="100" w:type="dxa"/>
            </w:tcMar>
          </w:tcPr>
          <w:p>
            <w:pPr>
              <w:spacing w:before="0" w:after="0"/>
            </w:pPr>
            <w:r/>
            <w:r>
              <w:rPr>
                <w:color w:val="3C4752"/>
                <w:sz w:val="19"/>
              </w:rPr>
              <w:t>Document encryption and storage infrastructure, which does not yet exist for any data type on the platform.</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Course-to-role alignment score for providers</w:t>
            </w:r>
          </w:p>
        </w:tc>
        <w:tc>
          <w:tcPr>
            <w:tcW w:type="dxa" w:w="5328"/>
            <w:shd w:val="clear" w:color="auto" w:fill="F2F4F6"/>
            <w:tcMar>
              <w:top w:w="60" w:type="dxa"/>
              <w:bottom w:w="60" w:type="dxa"/>
              <w:left w:w="100" w:type="dxa"/>
              <w:right w:w="100" w:type="dxa"/>
            </w:tcMar>
          </w:tcPr>
          <w:p>
            <w:pPr>
              <w:spacing w:before="0" w:after="0"/>
            </w:pPr>
            <w:r/>
            <w:r>
              <w:rPr>
                <w:color w:val="3C4752"/>
                <w:sz w:val="19"/>
              </w:rPr>
              <w:t>No new infrastructure, but a new scoring function distinct from the existing candidate-mediated recommendation.</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Market-wide skill-shortage signal for providers</w:t>
            </w:r>
          </w:p>
        </w:tc>
        <w:tc>
          <w:tcPr>
            <w:tcW w:type="dxa" w:w="5328"/>
            <w:shd w:val="clear" w:color="auto" w:fill="FFFFFF"/>
            <w:tcMar>
              <w:top w:w="60" w:type="dxa"/>
              <w:bottom w:w="60" w:type="dxa"/>
              <w:left w:w="100" w:type="dxa"/>
              <w:right w:w="100" w:type="dxa"/>
            </w:tcMar>
          </w:tcPr>
          <w:p>
            <w:pPr>
              <w:spacing w:before="0" w:after="0"/>
            </w:pPr>
            <w:r/>
            <w:r>
              <w:rPr>
                <w:color w:val="3C4752"/>
                <w:sz w:val="19"/>
              </w:rPr>
              <w:t>The employer-facing version already exists; this needs the equivalent view built for the provider side specifically.</w:t>
            </w:r>
          </w:p>
        </w:tc>
      </w:tr>
    </w:tbl>
    <w:p>
      <w:pPr>
        <w:spacing w:after="80"/>
      </w:pPr>
    </w:p>
    <w:p>
      <w:pPr>
        <w:pStyle w:val="Heading2"/>
      </w:pPr>
      <w:r>
        <w:t>8.3  Later — A New Capability or a New Market</w:t>
      </w:r>
    </w:p>
    <w:tbl>
      <w:tblPr>
        <w:tblStyle w:val="TableGrid"/>
        <w:tblW w:type="auto" w:w="0"/>
        <w:jc w:val="center"/>
        <w:tblLayout w:type="autofit"/>
        <w:tblLook w:firstColumn="1" w:firstRow="1" w:lastColumn="0" w:lastRow="0" w:noHBand="0" w:noVBand="1" w:val="04A0"/>
      </w:tblPr>
      <w:tblGrid>
        <w:gridCol w:w="4706"/>
        <w:gridCol w:w="4706"/>
      </w:tblGrid>
      <w:tr>
        <w:tc>
          <w:tcPr>
            <w:tcW w:type="dxa" w:w="3312"/>
            <w:shd w:val="clear" w:color="auto" w:fill="0B2E4E"/>
            <w:tcMar>
              <w:top w:w="60" w:type="dxa"/>
              <w:bottom w:w="60" w:type="dxa"/>
              <w:left w:w="100" w:type="dxa"/>
              <w:right w:w="100" w:type="dxa"/>
            </w:tcMar>
            <w:vAlign w:val="center"/>
          </w:tcPr>
          <w:p>
            <w:r/>
            <w:r>
              <w:rPr>
                <w:b/>
                <w:color w:val="FFFFFF"/>
                <w:sz w:val="19"/>
              </w:rPr>
              <w:t>Feature</w:t>
            </w:r>
          </w:p>
        </w:tc>
        <w:tc>
          <w:tcPr>
            <w:tcW w:type="dxa" w:w="5328"/>
            <w:shd w:val="clear" w:color="auto" w:fill="0B2E4E"/>
            <w:tcMar>
              <w:top w:w="60" w:type="dxa"/>
              <w:bottom w:w="60" w:type="dxa"/>
              <w:left w:w="100" w:type="dxa"/>
              <w:right w:w="100" w:type="dxa"/>
            </w:tcMar>
            <w:vAlign w:val="center"/>
          </w:tcPr>
          <w:p>
            <w:r/>
            <w:r>
              <w:rPr>
                <w:b/>
                <w:color w:val="FFFFFF"/>
                <w:sz w:val="19"/>
              </w:rPr>
              <w:t>Scale of Change</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Semantic (AI-similarity) matching</w:t>
            </w:r>
          </w:p>
        </w:tc>
        <w:tc>
          <w:tcPr>
            <w:tcW w:type="dxa" w:w="5328"/>
            <w:shd w:val="clear" w:color="auto" w:fill="F2F4F6"/>
            <w:tcMar>
              <w:top w:w="60" w:type="dxa"/>
              <w:bottom w:w="60" w:type="dxa"/>
              <w:left w:w="100" w:type="dxa"/>
              <w:right w:w="100" w:type="dxa"/>
            </w:tcMar>
          </w:tcPr>
          <w:p>
            <w:pPr>
              <w:spacing w:before="0" w:after="0"/>
            </w:pPr>
            <w:r/>
            <w:r>
              <w:rPr>
                <w:color w:val="3C4752"/>
                <w:sz w:val="19"/>
              </w:rPr>
              <w:t>A new scoring component layered on the existing deterministic score — moderate, and deliberately deferred until there is a stable baseline to measure it against.</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Skill-relationship graph and career-path recommendation</w:t>
            </w:r>
          </w:p>
        </w:tc>
        <w:tc>
          <w:tcPr>
            <w:tcW w:type="dxa" w:w="5328"/>
            <w:shd w:val="clear" w:color="auto" w:fill="FFFFFF"/>
            <w:tcMar>
              <w:top w:w="60" w:type="dxa"/>
              <w:bottom w:w="60" w:type="dxa"/>
              <w:left w:w="100" w:type="dxa"/>
              <w:right w:w="100" w:type="dxa"/>
            </w:tcMar>
          </w:tcPr>
          <w:p>
            <w:pPr>
              <w:spacing w:before="0" w:after="0"/>
            </w:pPr>
            <w:r/>
            <w:r>
              <w:rPr>
                <w:color w:val="3C4752"/>
                <w:sz w:val="19"/>
              </w:rPr>
              <w:t>Substantial — the prerequisite graph does not exist yet, and career-path recommendation depends on it.</w:t>
            </w:r>
          </w:p>
        </w:tc>
      </w:tr>
      <w:tr>
        <w:tc>
          <w:tcPr>
            <w:tcW w:type="dxa" w:w="3312"/>
            <w:shd w:val="clear" w:color="auto" w:fill="F2F4F6"/>
            <w:tcMar>
              <w:top w:w="60" w:type="dxa"/>
              <w:bottom w:w="60" w:type="dxa"/>
              <w:left w:w="100" w:type="dxa"/>
              <w:right w:w="100" w:type="dxa"/>
            </w:tcMar>
          </w:tcPr>
          <w:p>
            <w:pPr>
              <w:spacing w:before="0" w:after="0"/>
            </w:pPr>
            <w:r/>
            <w:r>
              <w:rPr>
                <w:color w:val="3C4752"/>
                <w:sz w:val="19"/>
              </w:rPr>
              <w:t>Gig / short-term work as a new pillar</w:t>
            </w:r>
          </w:p>
        </w:tc>
        <w:tc>
          <w:tcPr>
            <w:tcW w:type="dxa" w:w="5328"/>
            <w:shd w:val="clear" w:color="auto" w:fill="F2F4F6"/>
            <w:tcMar>
              <w:top w:w="60" w:type="dxa"/>
              <w:bottom w:w="60" w:type="dxa"/>
              <w:left w:w="100" w:type="dxa"/>
              <w:right w:w="100" w:type="dxa"/>
            </w:tcMar>
          </w:tcPr>
          <w:p>
            <w:pPr>
              <w:spacing w:before="0" w:after="0"/>
            </w:pPr>
            <w:r/>
            <w:r>
              <w:rPr>
                <w:color w:val="3C4752"/>
                <w:sz w:val="19"/>
              </w:rPr>
              <w:t>A genuinely different market with its own physics; warrants its own design phase rather than an extension of this product.</w:t>
            </w:r>
          </w:p>
        </w:tc>
      </w:tr>
      <w:tr>
        <w:tc>
          <w:tcPr>
            <w:tcW w:type="dxa" w:w="3312"/>
            <w:shd w:val="clear" w:color="auto" w:fill="FFFFFF"/>
            <w:tcMar>
              <w:top w:w="60" w:type="dxa"/>
              <w:bottom w:w="60" w:type="dxa"/>
              <w:left w:w="100" w:type="dxa"/>
              <w:right w:w="100" w:type="dxa"/>
            </w:tcMar>
          </w:tcPr>
          <w:p>
            <w:pPr>
              <w:spacing w:before="0" w:after="0"/>
            </w:pPr>
            <w:r/>
            <w:r>
              <w:rPr>
                <w:color w:val="3C4752"/>
                <w:sz w:val="19"/>
              </w:rPr>
              <w:t>Government agency and external-system actors</w:t>
            </w:r>
          </w:p>
        </w:tc>
        <w:tc>
          <w:tcPr>
            <w:tcW w:type="dxa" w:w="5328"/>
            <w:shd w:val="clear" w:color="auto" w:fill="FFFFFF"/>
            <w:tcMar>
              <w:top w:w="60" w:type="dxa"/>
              <w:bottom w:w="60" w:type="dxa"/>
              <w:left w:w="100" w:type="dxa"/>
              <w:right w:w="100" w:type="dxa"/>
            </w:tcMar>
          </w:tcPr>
          <w:p>
            <w:pPr>
              <w:spacing w:before="0" w:after="0"/>
            </w:pPr>
            <w:r/>
            <w:r>
              <w:rPr>
                <w:color w:val="3C4752"/>
                <w:sz w:val="19"/>
              </w:rPr>
              <w:t>New actor types with their own authentication and data-sharing models, not extensions of the current three.</w:t>
            </w:r>
          </w:p>
        </w:tc>
      </w:tr>
    </w:tbl>
    <w:p>
      <w:pPr>
        <w:spacing w:after="80"/>
      </w:pPr>
    </w:p>
    <w:p>
      <w:r>
        <w:br w:type="page"/>
      </w:r>
    </w:p>
    <w:p>
      <w:pPr>
        <w:pStyle w:val="Heading1"/>
      </w:pPr>
      <w:r>
        <w:rPr>
          <w:color w:val="0F6E84"/>
        </w:rPr>
        <w:t xml:space="preserve">9  </w:t>
      </w:r>
      <w:r>
        <w:t>Open Product Questions</w:t>
      </w:r>
    </w:p>
    <w:p>
      <w:r>
        <w:rPr>
          <w:b w:val="0"/>
          <w:i w:val="0"/>
        </w:rPr>
        <w:t>Genuine decisions the product team has not yet made, recorded so they are decided deliberately rather than by default.</w:t>
      </w:r>
    </w:p>
    <w:p>
      <w:pPr>
        <w:pStyle w:val="ListNumber"/>
        <w:spacing w:before="0" w:after="60"/>
      </w:pPr>
      <w:r>
        <w:t>Should the score shown for a self-declared-only candidate carry a visible indicator that no independent evidence exists yet, given that every real candidate today is self-declared and the scoring model was designed assuming a mix of evidence tiers?</w:t>
      </w:r>
    </w:p>
    <w:p>
      <w:pPr>
        <w:pStyle w:val="ListNumber"/>
        <w:spacing w:before="0" w:after="60"/>
      </w:pPr>
      <w:r>
        <w:t>Should “configurable match weighting” (Section 8.1) be exposed to operators only, or eventually to individual organisations tuning their own vacancy matches?</w:t>
      </w:r>
    </w:p>
    <w:p>
      <w:pPr>
        <w:pStyle w:val="ListNumber"/>
        <w:spacing w:before="0" w:after="60"/>
      </w:pPr>
      <w:r>
        <w:t>Should the “not interested” recommendation signal (Section 8.1) be built before or after configurable weighting, given the two are independent but a weighting change is hard to evaluate without a negative signal to measure against?</w:t>
      </w:r>
    </w:p>
    <w:p>
      <w:pPr>
        <w:pStyle w:val="ListNumber"/>
        <w:spacing w:before="0" w:after="60"/>
      </w:pPr>
      <w:r>
        <w:t>When an organisation’s verification badge is revoked, should the organisation be told the reason, or only that its status changed?</w:t>
      </w:r>
    </w:p>
    <w:p>
      <w:pPr>
        <w:pStyle w:val="ListNumber"/>
        <w:spacing w:before="0" w:after="60"/>
      </w:pPr>
      <w:r>
        <w:t>Should a training provider be allowed to see a candidate’s district-level location before the candidate has registered interest, the way an employer sees it in the candidate pool today, or is that an intentional asymmetry between the two disclosure models?</w:t>
      </w:r>
    </w:p>
    <w:p>
      <w:r>
        <w:br w:type="page"/>
      </w:r>
    </w:p>
    <w:p>
      <w:pPr>
        <w:pStyle w:val="Heading1"/>
      </w:pPr>
      <w:r>
        <w:rPr>
          <w:color w:val="0F6E84"/>
        </w:rPr>
        <w:t xml:space="preserve">10  </w:t>
      </w:r>
      <w:r>
        <w:t>Appendices</w:t>
      </w:r>
    </w:p>
    <w:p>
      <w:pPr>
        <w:pStyle w:val="Heading2"/>
      </w:pPr>
      <w:r>
        <w:t>Appendix A — User Story Index</w:t>
      </w:r>
    </w:p>
    <w:p>
      <w:r>
        <w:rPr>
          <w:b w:val="0"/>
          <w:i w:val="0"/>
        </w:rPr>
        <w:t>Twenty-five user stories are specified in Section 5, spanning eleven feature areas. Each carries a priority (P0/P1), a persona, and a reference to the Functional Requirements Specification section carrying its exact behaviour — use that reference when a story needs more detail than fits a user-story format.</w:t>
      </w:r>
    </w:p>
    <w:p>
      <w:pPr>
        <w:pStyle w:val="Heading2"/>
      </w:pPr>
      <w:r>
        <w:t>Appendix B — Document Set Summary</w:t>
      </w:r>
    </w:p>
    <w:p>
      <w:pPr>
        <w:pStyle w:val="ListNumber"/>
        <w:spacing w:before="0" w:after="60"/>
      </w:pPr>
      <w:r>
        <w:t>Business Requirements Document — the business case: why, and what the business needs.</w:t>
      </w:r>
    </w:p>
    <w:p>
      <w:pPr>
        <w:pStyle w:val="ListNumber"/>
        <w:spacing w:before="0" w:after="60"/>
      </w:pPr>
      <w:r>
        <w:t>Product Requirements Document (this document) — the product story: what is built, for whom, in what order, and how success is measured.</w:t>
      </w:r>
    </w:p>
    <w:p>
      <w:pPr>
        <w:pStyle w:val="ListNumber"/>
        <w:spacing w:before="0" w:after="60"/>
      </w:pPr>
      <w:r>
        <w:t>Functional Requirements Specification — the exhaustive behaviour: every business rule and user journey, step by step.</w:t>
      </w:r>
    </w:p>
    <w:p>
      <w:pPr>
        <w:pStyle w:val="ListNumber"/>
        <w:spacing w:before="0" w:after="60"/>
      </w:pPr>
      <w:r>
        <w:t>Architecture Decision Record — the technical reasoning behind how it was built.</w:t>
      </w:r>
    </w:p>
    <w:p>
      <w:pPr>
        <w:pStyle w:val="Heading2"/>
      </w:pPr>
      <w:r>
        <w:t>Appendix C — Change Control</w:t>
      </w:r>
    </w:p>
    <w:p>
      <w:r>
        <w:rPr>
          <w:b w:val="0"/>
          <w:i w:val="0"/>
        </w:rPr>
        <w:t>This document should be revisited whenever a product goal, a priority in Section 8, or an answer to an open question in Section 9 changes. A change to system-level behaviour alone is tracked in the Functional Requirements Specification instead.</w:t>
      </w:r>
    </w:p>
    <w:sectPr w:rsidR="00FC693F" w:rsidRPr="0006063C" w:rsidSect="00034616">
      <w:headerReference w:type="default" r:id="rId9"/>
      <w:footerReference w:type="default" r:id="rId10"/>
      <w:pgSz w:w="11906" w:h="16838"/>
      <w:pgMar w:top="1247" w:right="1247" w:bottom="113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6" w:val="left"/>
      </w:tabs>
      <w:jc w:val="center"/>
    </w:pPr>
    <w:r>
      <w:rPr>
        <w:color w:val="6B747C"/>
        <w:sz w:val="16"/>
      </w:rPr>
      <w:t>Confidential — Prepared for Business Review and Client Presentation</w:t>
      <w:tab/>
      <w:tab/>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9D2D8"/>
      </w:pBdr>
    </w:pPr>
    <w:r/>
    <w:r>
      <w:rPr>
        <w:rFonts w:ascii="Calibri" w:hAnsi="Calibri"/>
        <w:color w:val="6B747C"/>
        <w:sz w:val="17"/>
      </w:rPr>
      <w:t>IISM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C475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Calibri" w:hAnsi="Calibri"/>
      <w:b/>
      <w:bCs/>
      <w:color w:val="0B2E4E"/>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outlineLvl w:val="1"/>
    </w:pPr>
    <w:rPr>
      <w:rFonts w:asciiTheme="majorHAnsi" w:eastAsiaTheme="majorEastAsia" w:hAnsiTheme="majorHAnsi" w:cstheme="majorBidi" w:ascii="Calibri" w:hAnsi="Calibri"/>
      <w:b/>
      <w:bCs/>
      <w:color w:val="0F6E84"/>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80"/>
      <w:outlineLvl w:val="2"/>
    </w:pPr>
    <w:rPr>
      <w:rFonts w:asciiTheme="majorHAnsi" w:eastAsiaTheme="majorEastAsia" w:hAnsiTheme="majorHAnsi" w:cstheme="majorBidi" w:ascii="Calibri" w:hAnsi="Calibri"/>
      <w:b/>
      <w:bCs/>
      <w:color w:val="0B2E4E"/>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60"/>
      <w:outlineLvl w:val="3"/>
    </w:pPr>
    <w:rPr>
      <w:rFonts w:asciiTheme="majorHAnsi" w:eastAsiaTheme="majorEastAsia" w:hAnsiTheme="majorHAnsi" w:cstheme="majorBidi" w:ascii="Calibri" w:hAnsi="Calibri"/>
      <w:b/>
      <w:bCs/>
      <w:i/>
      <w:iCs/>
      <w:color w:val="3C475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Head">
    <w:name w:val="BRHead"/>
    <w:basedOn w:val="Normal"/>
    <w:pPr>
      <w:spacing w:before="120" w:after="40"/>
    </w:pPr>
    <w:rPr>
      <w:b/>
      <w:color w:val="0F6E84"/>
      <w:sz w:val="20"/>
    </w:rPr>
  </w:style>
  <w:style w:type="character" w:customStyle="1" w:styleId="ReqID">
    <w:name w:val="ReqID"/>
    <w:rPr>
      <w:rFonts w:ascii="Consolas" w:hAnsi="Consolas"/>
      <w:b/>
      <w:color w:val="0B2E4E"/>
      <w:sz w:val="19"/>
    </w:rPr>
  </w:style>
  <w:style w:type="paragraph" w:customStyle="1" w:styleId="Caption2">
    <w:name w:val="Caption2"/>
    <w:basedOn w:val="Normal"/>
    <w:rPr>
      <w:i/>
      <w:color w:val="6B74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