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1.29</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1.29</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1.29 (2026-10-15)</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Recommended Sprint 69. Web and app together; no migration.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Recommended Sprint 70, after a usability check if one can be run.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[NEXT]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Not started. Recommended as Sprint 69. The owner decides the pay wording and the removal of NSQF terms from seeker screens.</w:t>
      </w:r>
    </w:p>
    <w:p>
      <w:pPr>
        <w:pStyle w:val="Caption2"/>
      </w:pPr>
      <w:r>
        <w:t>Size: L   |   Depends on: BL-16.0   |   Sprint 69</w:t>
      </w:r>
    </w:p>
    <w:p>
      <w:pPr>
        <w:spacing w:before="160" w:after="40"/>
      </w:pPr>
      <w:r>
        <w:rPr>
          <w:rStyle w:val="ReqID"/>
        </w:rPr>
        <w:t xml:space="preserve">BL-16.2  </w:t>
      </w:r>
      <w:r>
        <w:rPr>
          <w:b/>
          <w:color w:val="3C4752"/>
        </w:rPr>
        <w:t xml:space="preserve">[NEXT]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Not started. Best done after BL-16.4 shows whether the match score is understood.</w:t>
      </w:r>
    </w:p>
    <w:p>
      <w:pPr>
        <w:pStyle w:val="Caption2"/>
      </w:pPr>
      <w:r>
        <w:t>Size: M   |   Depends on: BL-16.1   |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