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1.9</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1.9</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ninety-one stories, delivered from the walking skeleton through matching at volume (Sprint 49).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33–49)</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1.9 (2026-10-05)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Not done: the existing per-district programme enrolment still shows exact counts, including cells under five, and should adopt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48 are merged into main (pull requests #17 to #25). Sprint 49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BL-12.16 Retrieval size (owner decision)</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default of 500 candidates or vacancies kept per retrieval misses the 300 ms employer-shortlist target at fifty thousand candidates (95th percentile 569 ms); 150 meets it (273 ms) with the same recall on the benchmark. The benchmark data is synthetic and more skewed than real data will be, so this is a choice to make, not a conclusion.</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