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1.52</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1.52</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87: BL-19.17 (the candidate area) done (ADR-096; web only: no migration, no API or contract change, no new icon and no new message). An application, a course interest and a saved job are on the same card as a vacancy: the organisation's mark, the title and the organisation, the state as a chip with a word, a shape and a tone (a rejection is neutral, not red), the date as an icon chip, the sentence about what the state means, and the employer's own message set apart; a saved job is one link. Each kind of notice has its own picture, and both notice lists' Open and Mark as read are full-size targets. The account's four sections each lead with a mark; the privacy-notice link is full-size. The career page's course-budget box is the shared form field at full size. Measured on the demonstration database in the in-app browser, before and after the same way: applications and interests 1.8 to 1.9 screens, the account 3.3 to 3.4, career paths 4.9 to 4.9; controls under 44 px on the account 1 to none and on the career page 1 to none. The profile page has 987 bytes of first-load room left (699,013 of 700,000; it was 2,055 at Sprint 84; almost none of the loss was the profile's own code). 1,086 web tests and 48 mutation checks. Not run: the real-browser journeys, the contrast and layout-shift sweep and the capture script, because the machine has no test browser and the download was declined; the pull request's checks are the first real run. Not seen live: the notification rows (the demonstration account has no notices). Not done: the career ladder's step cards,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88: BL-19.18 (the employer and provider workspaces) done (ADR-097; web only: no migration, no API or contract change, no new icon and no new message). A vacancy's and a course's state is a chip with a word, a shape and a tone (a vacancy that is published but no longer open is shown as closed, never as published), with the place and the counts as icon chips. An applicant's and a learner's state use the same shapes the candidate sees, and the match score has a shape of its own. The dashboards' headline figures each have a mark. Team members have a mark and a role with a shape, and an invitation's state has one. The bulk upload's results are rows with a shape each, and its file box and checkbox are full-size. The employer's and the provider's workspace are each loaded only when that kind of organisation opens the page: the first version, with both always loaded, made the workspace page 3,701 bytes over the size ceiling, and loading them separately took it from 698,703 to 667,428. Measured on the demonstration database in the in-app browser, before and after the same way: the employer home 4.7 to 5.0 screens, the provider home 7.8 to 8.0, the team 2.8 to 2.9; controls under 44 px on the upload page 1 to none, and none on the other pages before or after. The profile page still has 987 bytes of first-load room. 1,143 web tests and 43 mutation checks. Not run: the real-browser journeys, the contrast and layout-shift sweep and the capture script, because the machine has no test browser and the download was declined; the criterion that no browser journey selector breaks is therefore not verified, and the pull request's checks are the first real run. Not done: the candidate shortlist, the sponsor panel, organisation settings and the two editors.</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1.52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BL-19.18 and BL-19.21 to BL-19.23 are done (Sprints 76 to 88): the foundations, the form controls, the surfaces, the empty and status states, the navigation, and the phone primitives, tab bar, home, Me and profile; the other 5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87 (ADR-096). Applications, interests, saved jobs, notices, account and career budget on the shared look.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88 (ADR-097). Vacancy, course, applicant, learner, team and upload rows with shapes; dashboard tiles; workspaces loaded on demand.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 to BL-19.23.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All other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Sprint 87 the candidate area (BL-19.17); Sprint 88 the employer and provider workspaces (BL-19.18); the other page families (BL-19.19 onward) are next.</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[DONE]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Done in Sprint 87 (ADR-096). An application, a course interest and a saved job are on the shared card (the organisation's mark, the title and organisation, the state as a chip with a word, a shape and a tone, the date, the sentence about what the state means, the employer's message set apart); a saved job is one link. Each kind of notice has a picture, and the Open and Mark as read actions are full-size. The account's four sections lead with a mark and the privacy link is full-size; the career page's budget box is the shared form field at full size. The matches page was already on the shared card (Sprints 70 and 84) and is unchanged. Before and after on the demonstration database in the in-app browser: applications and interests 1.8 to 1.9 screens, the account 3.3 to 3.4; controls under 44 px on the account and the career page 1 to none each. The profile page has 987 bytes of first-load room left. Not run: the real-browser journeys and the sweep (no test browser on the machine; the download was declined). Not seen live: the notification rows. Not done: the career ladder's step cards, and a Hindi or light-mode look.</w:t>
      </w:r>
    </w:p>
    <w:p>
      <w:pPr>
        <w:pStyle w:val="Caption2"/>
      </w:pPr>
      <w:r>
        <w:t>Size: M   |   Depends on: BL-19.11 to BL-19.13   |   Epic B19</w:t>
      </w:r>
    </w:p>
    <w:p>
      <w:pPr>
        <w:spacing w:before="160" w:after="40"/>
      </w:pPr>
      <w:r>
        <w:rPr>
          <w:rStyle w:val="ReqID"/>
        </w:rPr>
        <w:t xml:space="preserve">BL-19.18  </w:t>
      </w:r>
      <w:r>
        <w:rPr>
          <w:b/>
          <w:color w:val="3C4752"/>
        </w:rPr>
        <w:t xml:space="preserve">[DONE]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Done in Sprint 88 (ADR-097). A vacancy's and a course's state is a chip with a word, a shape and a tone (a published vacancy that is no longer open is closed, never published) with the place and the counts as icon chips; an applicant's and a learner's state use the shapes the candidate sees; the dashboards' headline figures have a mark; team members have a mark and a role with a shape; the bulk upload's results have a shape each and its file box and checkbox are full-size. The one-primary-action-per-row pattern from Sprint 73 is unchanged. The two kinds of workspace are loaded only when that kind of organisation opens the page (the first version made the page 3,701 bytes over the size ceiling; it is now 667,428 of 700,000). Before and after on the demonstration database in the in-app browser: the employer home 4.7 to 5.0 screens, the provider home 7.8 to 8.0; controls under 44 px on the upload page 1 to none. Not verified: that no browser journey selector breaks, because no real-browser test ran (no test browser on the machine; the download was declined). Not done: the candidate shortlist, the sponsor panel, organisation settings and the two editors.</w:t>
      </w:r>
    </w:p>
    <w:p>
      <w:pPr>
        <w:pStyle w:val="Caption2"/>
      </w:pPr>
      <w:r>
        <w:t>Size: M   |   Depends on: BL-19.10, BL-19.11   |   Epic B19</w:t>
      </w:r>
    </w:p>
    <w:p>
      <w:pPr>
        <w:spacing w:before="160" w:after="40"/>
      </w:pPr>
      <w:r>
        <w:rPr>
          <w:rStyle w:val="ReqID"/>
        </w:rPr>
        <w:t xml:space="preserve">BL-19.19  </w:t>
      </w:r>
      <w:r>
        <w:rPr>
          <w:b/>
          <w:color w:val="3C4752"/>
        </w:rPr>
        <w:t xml:space="preserve">[LATER]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BL-19.20  </w:t>
      </w:r>
      <w:r>
        <w:rPr>
          <w:b/>
          <w:color w:val="3C4752"/>
        </w:rPr>
        <w:t xml:space="preserve">[LATER]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[LATER]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Planned in version 1.39; not started.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[LATER]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Planned in version 1.39; not started.</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(done): BL-19.17. Sprint 88 (done): BL-19.18. Sprint 89: BL-19.19 and BL-19.20. Sprint 91: BL-19.25 and BL-19.26, with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