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6B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b/>
          <w:sz w:val="24"/>
          <w:szCs w:val="24"/>
        </w:rPr>
      </w:pPr>
      <w:r>
        <w:rPr>
          <w:b/>
          <w:sz w:val="24"/>
          <w:szCs w:val="24"/>
        </w:rPr>
        <w:t>Risk Management Analysis</w:t>
      </w:r>
    </w:p>
    <w:p w14:paraId="00000002" w14:textId="77777777" w:rsidR="00036B82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 w:after="40"/>
        <w:rPr>
          <w:b/>
          <w:color w:val="000000"/>
          <w:sz w:val="22"/>
          <w:szCs w:val="22"/>
        </w:rPr>
      </w:pPr>
      <w:bookmarkStart w:id="0" w:name="_heading=h.xf5jqkr2svr0" w:colFirst="0" w:colLast="0"/>
      <w:bookmarkEnd w:id="0"/>
      <w:r>
        <w:rPr>
          <w:b/>
          <w:color w:val="000000"/>
          <w:sz w:val="22"/>
          <w:szCs w:val="22"/>
        </w:rPr>
        <w:t>Scenario 1: Hedging Market Risk</w:t>
      </w:r>
    </w:p>
    <w:p w14:paraId="00000004" w14:textId="59E19F20" w:rsidR="00036B82" w:rsidRPr="00740FE3" w:rsidRDefault="00740FE3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240"/>
        <w:rPr>
          <w:sz w:val="24"/>
          <w:szCs w:val="24"/>
        </w:rPr>
      </w:pPr>
      <w:bookmarkStart w:id="1" w:name="_heading=h.mx1twmblhg4j" w:colFirst="0" w:colLast="0"/>
      <w:bookmarkEnd w:id="1"/>
      <w:r>
        <w:t>Value at risk</w:t>
      </w:r>
    </w:p>
    <w:p w14:paraId="57ECC81A" w14:textId="5E6B0385" w:rsidR="00740FE3" w:rsidRDefault="00740FE3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240"/>
        <w:rPr>
          <w:sz w:val="24"/>
          <w:szCs w:val="24"/>
        </w:rPr>
      </w:pPr>
      <w:r>
        <w:t>Stress Tenting &amp; Scenario Analysis</w:t>
      </w:r>
    </w:p>
    <w:p w14:paraId="00000005" w14:textId="77777777" w:rsidR="00036B82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Scenario 2: Credit Risk with a New Supplier</w:t>
      </w:r>
    </w:p>
    <w:p w14:paraId="300D3D90" w14:textId="7AFD0BFC" w:rsidR="00740FE3" w:rsidRPr="00740FE3" w:rsidRDefault="00740FE3" w:rsidP="00740FE3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/>
        <w:rPr>
          <w:sz w:val="24"/>
          <w:szCs w:val="24"/>
        </w:rPr>
      </w:pPr>
      <w:r>
        <w:t>Collateral Management</w:t>
      </w:r>
    </w:p>
    <w:p w14:paraId="00000007" w14:textId="0004761C" w:rsidR="00036B82" w:rsidRDefault="00740FE3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</w:rPr>
      </w:pPr>
      <w:r>
        <w:t>Credit Scoring</w:t>
      </w:r>
    </w:p>
    <w:p w14:paraId="00000009" w14:textId="77777777" w:rsidR="00036B82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 w:after="40"/>
        <w:rPr>
          <w:b/>
          <w:color w:val="000000"/>
          <w:sz w:val="22"/>
          <w:szCs w:val="22"/>
        </w:rPr>
      </w:pPr>
      <w:bookmarkStart w:id="2" w:name="_heading=h.lz92tes066u3" w:colFirst="0" w:colLast="0"/>
      <w:bookmarkEnd w:id="2"/>
      <w:r>
        <w:rPr>
          <w:b/>
          <w:color w:val="000000"/>
          <w:sz w:val="22"/>
          <w:szCs w:val="22"/>
        </w:rPr>
        <w:t>Scenario 3: Operational Risk in Trade Execution</w:t>
      </w:r>
    </w:p>
    <w:p w14:paraId="1FA69D47" w14:textId="02D96955" w:rsidR="00740FE3" w:rsidRPr="00740FE3" w:rsidRDefault="00740FE3" w:rsidP="00740FE3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/>
        <w:rPr>
          <w:sz w:val="24"/>
          <w:szCs w:val="24"/>
        </w:rPr>
      </w:pPr>
      <w:r>
        <w:t>Process Automation</w:t>
      </w:r>
    </w:p>
    <w:p w14:paraId="0000000B" w14:textId="0BB77FF7" w:rsidR="00036B82" w:rsidRDefault="00740FE3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</w:rPr>
      </w:pPr>
      <w:r>
        <w:t>Training and Development</w:t>
      </w:r>
    </w:p>
    <w:p w14:paraId="0000000C" w14:textId="25C06F92" w:rsidR="00036B82" w:rsidRDefault="00740FE3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240"/>
        <w:rPr>
          <w:sz w:val="24"/>
          <w:szCs w:val="24"/>
        </w:rPr>
      </w:pPr>
      <w:r>
        <w:t>Robust IT Infrastucture</w:t>
      </w:r>
    </w:p>
    <w:p w14:paraId="0000000D" w14:textId="77777777" w:rsidR="00036B82" w:rsidRDefault="00036B8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/>
        <w:rPr>
          <w:sz w:val="24"/>
          <w:szCs w:val="24"/>
        </w:rPr>
      </w:pPr>
    </w:p>
    <w:p w14:paraId="0000000E" w14:textId="77777777" w:rsidR="00036B82" w:rsidRDefault="00036B82">
      <w:pPr>
        <w:rPr>
          <w:sz w:val="24"/>
          <w:szCs w:val="24"/>
        </w:rPr>
      </w:pPr>
    </w:p>
    <w:sectPr w:rsidR="00036B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34532"/>
    <w:multiLevelType w:val="multilevel"/>
    <w:tmpl w:val="90547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E1457F"/>
    <w:multiLevelType w:val="multilevel"/>
    <w:tmpl w:val="9F284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E033B5"/>
    <w:multiLevelType w:val="multilevel"/>
    <w:tmpl w:val="BCEC5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8953116">
    <w:abstractNumId w:val="0"/>
  </w:num>
  <w:num w:numId="2" w16cid:durableId="210307697">
    <w:abstractNumId w:val="2"/>
  </w:num>
  <w:num w:numId="3" w16cid:durableId="199186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B82"/>
    <w:rsid w:val="00036B82"/>
    <w:rsid w:val="00271697"/>
    <w:rsid w:val="0074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ED72"/>
  <w15:docId w15:val="{3167F70F-1A76-4829-A8CA-06AA6F0B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lUoNXoPw0E1qN+0Vxke8tAj+A==">CgMxLjAyDmgueGY1anFrcjJzdnIwMg5oLm14MXR3bWJsaGc0ajIOaC5sejkydGVzMDY2dTM4AHIhMVB2MDYxNHNVZ3RETUtROG90TC1qSkwya2Jtd0xxMXQt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Siti Rukoyah Al Munazalah</cp:lastModifiedBy>
  <cp:revision>2</cp:revision>
  <dcterms:created xsi:type="dcterms:W3CDTF">2026-09-15T08:03:00Z</dcterms:created>
  <dcterms:modified xsi:type="dcterms:W3CDTF">2026-09-15T08:08:00Z</dcterms:modified>
</cp:coreProperties>
</file>