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研究意义及背景：僵尸主机需要与僵尸网络通信来控制僵尸网络，通过研究通信协议来发现僵尸网络</w:t>
      </w:r>
    </w:p>
    <w:p>
      <w:r>
        <w:rPr>
          <w:rFonts w:hint="eastAsia"/>
        </w:rPr>
        <w:t>协议：P</w:t>
      </w:r>
      <w:r>
        <w:t>2P</w:t>
      </w:r>
      <w:r>
        <w:rPr>
          <w:rFonts w:hint="eastAsia"/>
        </w:rPr>
        <w:t>，</w:t>
      </w:r>
      <w:r>
        <w:t>IRC</w:t>
      </w:r>
      <w:r>
        <w:rPr>
          <w:rFonts w:hint="eastAsia"/>
        </w:rPr>
        <w:t>和</w:t>
      </w:r>
      <w:r>
        <w:t>HTTP</w:t>
      </w:r>
    </w:p>
    <w:p>
      <w:pPr>
        <w:rPr>
          <w:rFonts w:hint="eastAsia"/>
        </w:rPr>
      </w:pPr>
      <w:r>
        <w:rPr>
          <w:rFonts w:hint="eastAsia"/>
        </w:rPr>
        <w:t>数据集：沙特</w:t>
      </w:r>
      <w:r>
        <w:rPr>
          <w:rFonts w:hint="eastAsia"/>
          <w:lang w:val="en-US" w:eastAsia="zh-CN"/>
        </w:rPr>
        <w:t>国王</w:t>
      </w:r>
      <w:r>
        <w:rPr>
          <w:rFonts w:hint="eastAsia"/>
        </w:rPr>
        <w:t>大学2012-2013年50天的网络流量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特征：时间、源IP、源端口、目标IP、目标端口、框架总长度、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40"/>
    <w:rsid w:val="00150EFA"/>
    <w:rsid w:val="002279CD"/>
    <w:rsid w:val="00BD3A2E"/>
    <w:rsid w:val="00C7789D"/>
    <w:rsid w:val="00DD1640"/>
    <w:rsid w:val="0408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TotalTime>130</TotalTime>
  <ScaleCrop>false</ScaleCrop>
  <LinksUpToDate>false</LinksUpToDate>
  <CharactersWithSpaces>89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2019-04-20T06:21:00Z</dcterms:created>
  <dc:creator>hao he</dc:creator>
  <cp:lastModifiedBy>hh</cp:lastModifiedBy>
  <dcterms:modified xsi:type="dcterms:W3CDTF">2019-04-20T13:16:53Z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