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A70C" w14:textId="77777777" w:rsidR="003A5884" w:rsidRPr="003A5884" w:rsidRDefault="000C7F74" w:rsidP="003A5884">
      <w:pPr>
        <w:jc w:val="center"/>
        <w:rPr>
          <w:b/>
          <w:sz w:val="28"/>
        </w:rPr>
      </w:pPr>
      <w:r w:rsidRPr="003A5884">
        <w:rPr>
          <w:b/>
          <w:sz w:val="28"/>
        </w:rPr>
        <w:t>Recommendations for Big Mountain Resort</w:t>
      </w:r>
    </w:p>
    <w:p w14:paraId="1FAA2DE9" w14:textId="77777777" w:rsidR="003A5884" w:rsidRDefault="003A5884" w:rsidP="00553BD7">
      <w:pPr>
        <w:spacing w:line="276" w:lineRule="auto"/>
        <w:jc w:val="center"/>
        <w:rPr>
          <w:b/>
        </w:rPr>
      </w:pPr>
    </w:p>
    <w:p w14:paraId="5EB0001C" w14:textId="77777777" w:rsidR="00C10008" w:rsidRDefault="003A5884" w:rsidP="00553BD7">
      <w:pPr>
        <w:spacing w:line="276" w:lineRule="auto"/>
        <w:ind w:firstLine="418"/>
      </w:pPr>
      <w:r w:rsidRPr="003A5884">
        <w:t xml:space="preserve">Big Mountain Resort has recently installed </w:t>
      </w:r>
      <w:r w:rsidR="009B22DF">
        <w:t xml:space="preserve">a new chair lift to increase the distribution of visitors across the mountain, which increased the operating costs by $1.54M this season. How can Big Mountain Resort keep a business profit margin of 9.2% this season with the increased operation costs? </w:t>
      </w:r>
      <w:r w:rsidR="000E3176">
        <w:t xml:space="preserve">One recommendation would be increasing the ticket price. Using the data retrieved from the database manager, we predicted the </w:t>
      </w:r>
      <w:r w:rsidR="00E03DE9">
        <w:t>weekend</w:t>
      </w:r>
      <w:r w:rsidR="000E3176">
        <w:t xml:space="preserve"> ticket price for an adult based on information of a variety of variables. </w:t>
      </w:r>
      <w:r w:rsidR="00C10008">
        <w:t>T</w:t>
      </w:r>
      <w:r w:rsidR="000E3176">
        <w:t>he dataset contains information from 330 resorts in the US that can be considered part of the same market share as Big Mountain Resort</w:t>
      </w:r>
      <w:r w:rsidR="00C10008">
        <w:t xml:space="preserve">. As such, if we set our new adult </w:t>
      </w:r>
      <w:r w:rsidR="00E03DE9">
        <w:t>weekend</w:t>
      </w:r>
      <w:r w:rsidR="00C10008">
        <w:t xml:space="preserve"> ticket price using the predicted adult </w:t>
      </w:r>
      <w:r w:rsidR="00E03DE9">
        <w:t>weekend</w:t>
      </w:r>
      <w:r w:rsidR="00C10008">
        <w:t xml:space="preserve"> ticket price for Big Mountain Resort, we can assume Big Mountain Resort would keep a business profit margin as before. </w:t>
      </w:r>
      <w:r w:rsidR="00553BD7">
        <w:t xml:space="preserve">Based on the modeling results, we recommend to increase the adult </w:t>
      </w:r>
      <w:r w:rsidR="00E03DE9">
        <w:t>weekend</w:t>
      </w:r>
      <w:r w:rsidR="00553BD7">
        <w:t xml:space="preserve"> ticket price from current $81.0 to $89.5. </w:t>
      </w:r>
    </w:p>
    <w:p w14:paraId="2101226B" w14:textId="77777777" w:rsidR="00C10008" w:rsidRDefault="00C10008" w:rsidP="00553BD7">
      <w:pPr>
        <w:spacing w:line="276" w:lineRule="auto"/>
      </w:pPr>
    </w:p>
    <w:p w14:paraId="43921A18" w14:textId="77777777" w:rsidR="000E3176" w:rsidRDefault="00C10008" w:rsidP="00553BD7">
      <w:pPr>
        <w:spacing w:line="276" w:lineRule="auto"/>
        <w:ind w:firstLine="418"/>
      </w:pPr>
      <w:r>
        <w:t xml:space="preserve">Linear regression model was used to fit the data and predict adult </w:t>
      </w:r>
      <w:r w:rsidR="00E03DE9">
        <w:t>weekend</w:t>
      </w:r>
      <w:r>
        <w:t xml:space="preserve"> ticket price. Specifically, the adult </w:t>
      </w:r>
      <w:r w:rsidR="00E03DE9">
        <w:t>weekend</w:t>
      </w:r>
      <w:r>
        <w:t xml:space="preserve"> ticket price was used as a response variable, and </w:t>
      </w:r>
      <w:r w:rsidR="00553BD7">
        <w:t xml:space="preserve">20 </w:t>
      </w:r>
      <w:r>
        <w:t xml:space="preserve">variables including </w:t>
      </w:r>
      <w:proofErr w:type="spellStart"/>
      <w:r>
        <w:t>vertical_drop</w:t>
      </w:r>
      <w:proofErr w:type="spellEnd"/>
      <w:r>
        <w:t xml:space="preserve">, trams, </w:t>
      </w:r>
      <w:proofErr w:type="spellStart"/>
      <w:r>
        <w:t>fastEight</w:t>
      </w:r>
      <w:proofErr w:type="spellEnd"/>
      <w:r>
        <w:t xml:space="preserve">, </w:t>
      </w:r>
      <w:proofErr w:type="spellStart"/>
      <w:r>
        <w:t>fastSixes</w:t>
      </w:r>
      <w:proofErr w:type="spellEnd"/>
      <w:r>
        <w:t xml:space="preserve">, </w:t>
      </w:r>
      <w:proofErr w:type="spellStart"/>
      <w:r>
        <w:t>fastQuads</w:t>
      </w:r>
      <w:proofErr w:type="spellEnd"/>
      <w:r>
        <w:t xml:space="preserve">, quad, triple, double, surface, </w:t>
      </w:r>
      <w:proofErr w:type="spellStart"/>
      <w:r>
        <w:t>total_chairs</w:t>
      </w:r>
      <w:proofErr w:type="spellEnd"/>
      <w:r>
        <w:t xml:space="preserve">, Runs, </w:t>
      </w:r>
      <w:proofErr w:type="spellStart"/>
      <w:r>
        <w:t>TerrainParks</w:t>
      </w:r>
      <w:proofErr w:type="spellEnd"/>
      <w:r>
        <w:t xml:space="preserve">, </w:t>
      </w:r>
      <w:proofErr w:type="spellStart"/>
      <w:r>
        <w:t>LongestRun_mi</w:t>
      </w:r>
      <w:proofErr w:type="spellEnd"/>
      <w:r>
        <w:t xml:space="preserve">, </w:t>
      </w:r>
      <w:proofErr w:type="spellStart"/>
      <w:r>
        <w:t>SkiableTerrain_ac</w:t>
      </w:r>
      <w:proofErr w:type="spellEnd"/>
      <w:r>
        <w:t xml:space="preserve">, Snow </w:t>
      </w:r>
      <w:proofErr w:type="spellStart"/>
      <w:r>
        <w:t>Making_ac</w:t>
      </w:r>
      <w:proofErr w:type="spellEnd"/>
      <w:r>
        <w:t xml:space="preserve">, </w:t>
      </w:r>
      <w:proofErr w:type="spellStart"/>
      <w:r>
        <w:t>daysOpenLastYear</w:t>
      </w:r>
      <w:proofErr w:type="spellEnd"/>
      <w:r>
        <w:t xml:space="preserve">, </w:t>
      </w:r>
      <w:proofErr w:type="spellStart"/>
      <w:r>
        <w:t>yearsOpen</w:t>
      </w:r>
      <w:proofErr w:type="spellEnd"/>
      <w:r>
        <w:t xml:space="preserve">, </w:t>
      </w:r>
      <w:proofErr w:type="spellStart"/>
      <w:r>
        <w:t>averageSnowfall</w:t>
      </w:r>
      <w:proofErr w:type="spellEnd"/>
      <w:r>
        <w:t xml:space="preserve">, </w:t>
      </w:r>
      <w:proofErr w:type="spellStart"/>
      <w:r>
        <w:t>ProjectedDaysOpen</w:t>
      </w:r>
      <w:proofErr w:type="spellEnd"/>
      <w:r>
        <w:t xml:space="preserve">, </w:t>
      </w:r>
      <w:r w:rsidR="00553BD7">
        <w:t xml:space="preserve">and </w:t>
      </w:r>
      <w:proofErr w:type="spellStart"/>
      <w:r>
        <w:t>NightSkiing_ac</w:t>
      </w:r>
      <w:proofErr w:type="spellEnd"/>
      <w:r w:rsidR="00553BD7">
        <w:t xml:space="preserve"> as predictor variables. The best model has an explained variance of 0.93, and mean absolute error of 5.38. </w:t>
      </w:r>
      <w:r w:rsidR="004D325C">
        <w:t xml:space="preserve">The coefficients of </w:t>
      </w:r>
      <w:r w:rsidR="004C5158">
        <w:t xml:space="preserve">top 10 </w:t>
      </w:r>
      <w:r w:rsidR="004D325C">
        <w:t>variable</w:t>
      </w:r>
      <w:r w:rsidR="004C5158">
        <w:t>s</w:t>
      </w:r>
      <w:r w:rsidR="004D325C">
        <w:t xml:space="preserve"> were listed below: </w:t>
      </w:r>
    </w:p>
    <w:p w14:paraId="56FFDF89" w14:textId="77777777" w:rsidR="004C5158" w:rsidRDefault="004C5158" w:rsidP="00553BD7">
      <w:pPr>
        <w:spacing w:line="276" w:lineRule="auto"/>
        <w:ind w:firstLine="418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5158" w14:paraId="2CA06CCF" w14:textId="77777777" w:rsidTr="004C5158">
        <w:tc>
          <w:tcPr>
            <w:tcW w:w="4675" w:type="dxa"/>
            <w:tcBorders>
              <w:bottom w:val="single" w:sz="4" w:space="0" w:color="auto"/>
            </w:tcBorders>
          </w:tcPr>
          <w:p w14:paraId="312F7C4A" w14:textId="77777777" w:rsidR="004C5158" w:rsidRPr="004C5158" w:rsidRDefault="004C5158" w:rsidP="00553BD7">
            <w:pPr>
              <w:spacing w:line="276" w:lineRule="auto"/>
              <w:rPr>
                <w:b/>
              </w:rPr>
            </w:pPr>
            <w:r w:rsidRPr="004C5158">
              <w:rPr>
                <w:b/>
              </w:rPr>
              <w:t>Variable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5BFDD7B" w14:textId="77777777" w:rsidR="004C5158" w:rsidRPr="004C5158" w:rsidRDefault="004C5158" w:rsidP="00553BD7">
            <w:pPr>
              <w:spacing w:line="276" w:lineRule="auto"/>
              <w:rPr>
                <w:b/>
              </w:rPr>
            </w:pPr>
            <w:r w:rsidRPr="004C5158">
              <w:rPr>
                <w:b/>
              </w:rPr>
              <w:t>Coefficient</w:t>
            </w:r>
          </w:p>
        </w:tc>
      </w:tr>
      <w:tr w:rsidR="004C5158" w14:paraId="10613FDD" w14:textId="77777777" w:rsidTr="004C5158"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14:paraId="217B12B9" w14:textId="77777777" w:rsidR="004C5158" w:rsidRDefault="004C5158" w:rsidP="00553BD7">
            <w:pPr>
              <w:spacing w:line="276" w:lineRule="auto"/>
            </w:pPr>
            <w:proofErr w:type="spellStart"/>
            <w:r>
              <w:t>Adult</w:t>
            </w:r>
            <w:r w:rsidR="00E03DE9">
              <w:t>Weekday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14:paraId="098A0EAA" w14:textId="77777777" w:rsidR="004C5158" w:rsidRDefault="004C5158" w:rsidP="00553BD7">
            <w:pPr>
              <w:spacing w:line="276" w:lineRule="auto"/>
            </w:pPr>
            <w:r>
              <w:t>20.13</w:t>
            </w:r>
          </w:p>
        </w:tc>
      </w:tr>
      <w:tr w:rsidR="004C5158" w14:paraId="4AA452A6" w14:textId="77777777" w:rsidTr="004C5158">
        <w:tc>
          <w:tcPr>
            <w:tcW w:w="4675" w:type="dxa"/>
            <w:tcBorders>
              <w:top w:val="nil"/>
              <w:bottom w:val="nil"/>
            </w:tcBorders>
          </w:tcPr>
          <w:p w14:paraId="7DDBCC49" w14:textId="77777777" w:rsidR="004C5158" w:rsidRDefault="004C5158" w:rsidP="004C5158">
            <w:pPr>
              <w:spacing w:line="276" w:lineRule="auto"/>
            </w:pPr>
            <w:proofErr w:type="spellStart"/>
            <w:r>
              <w:t>averageSnowfall</w:t>
            </w:r>
            <w:proofErr w:type="spellEnd"/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743905E7" w14:textId="77777777" w:rsidR="004C5158" w:rsidRDefault="004C5158" w:rsidP="004C5158">
            <w:pPr>
              <w:spacing w:line="276" w:lineRule="auto"/>
            </w:pPr>
            <w:r>
              <w:t>1.80</w:t>
            </w:r>
          </w:p>
        </w:tc>
      </w:tr>
      <w:tr w:rsidR="004C5158" w14:paraId="55BFFC0B" w14:textId="77777777" w:rsidTr="004C5158">
        <w:tc>
          <w:tcPr>
            <w:tcW w:w="4675" w:type="dxa"/>
            <w:tcBorders>
              <w:top w:val="nil"/>
              <w:bottom w:val="nil"/>
            </w:tcBorders>
          </w:tcPr>
          <w:p w14:paraId="1D037B28" w14:textId="77777777" w:rsidR="004C5158" w:rsidRDefault="004C5158" w:rsidP="004C5158">
            <w:pPr>
              <w:spacing w:line="276" w:lineRule="auto"/>
            </w:pPr>
            <w:r>
              <w:t>quad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99860A2" w14:textId="77777777" w:rsidR="004C5158" w:rsidRDefault="004C5158" w:rsidP="004C5158">
            <w:pPr>
              <w:spacing w:line="276" w:lineRule="auto"/>
            </w:pPr>
            <w:r>
              <w:t>1.47</w:t>
            </w:r>
          </w:p>
        </w:tc>
      </w:tr>
      <w:tr w:rsidR="004C5158" w14:paraId="14DF1A7D" w14:textId="77777777" w:rsidTr="004C5158">
        <w:tc>
          <w:tcPr>
            <w:tcW w:w="4675" w:type="dxa"/>
            <w:tcBorders>
              <w:top w:val="nil"/>
              <w:bottom w:val="nil"/>
            </w:tcBorders>
          </w:tcPr>
          <w:p w14:paraId="41351FFE" w14:textId="77777777" w:rsidR="004C5158" w:rsidRDefault="004C5158" w:rsidP="004C5158">
            <w:pPr>
              <w:spacing w:line="276" w:lineRule="auto"/>
            </w:pPr>
            <w:r>
              <w:t>triple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E191FA0" w14:textId="77777777" w:rsidR="004C5158" w:rsidRDefault="004C5158" w:rsidP="004C5158">
            <w:pPr>
              <w:spacing w:line="276" w:lineRule="auto"/>
            </w:pPr>
            <w:r>
              <w:t>1.35</w:t>
            </w:r>
          </w:p>
        </w:tc>
      </w:tr>
      <w:tr w:rsidR="004C5158" w14:paraId="25115FF5" w14:textId="77777777" w:rsidTr="004C5158">
        <w:tc>
          <w:tcPr>
            <w:tcW w:w="4675" w:type="dxa"/>
            <w:tcBorders>
              <w:top w:val="nil"/>
              <w:bottom w:val="nil"/>
            </w:tcBorders>
          </w:tcPr>
          <w:p w14:paraId="4E07ED53" w14:textId="77777777" w:rsidR="004C5158" w:rsidRDefault="004C5158" w:rsidP="004C5158">
            <w:pPr>
              <w:spacing w:line="276" w:lineRule="auto"/>
            </w:pPr>
            <w:proofErr w:type="spellStart"/>
            <w:r>
              <w:t>vertical_drop</w:t>
            </w:r>
            <w:proofErr w:type="spellEnd"/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12860AC" w14:textId="77777777" w:rsidR="004C5158" w:rsidRDefault="004C5158" w:rsidP="004C5158">
            <w:pPr>
              <w:spacing w:line="276" w:lineRule="auto"/>
            </w:pPr>
            <w:r>
              <w:t>1.31</w:t>
            </w:r>
          </w:p>
        </w:tc>
      </w:tr>
      <w:tr w:rsidR="004C5158" w14:paraId="53673DA0" w14:textId="77777777" w:rsidTr="004C5158">
        <w:tc>
          <w:tcPr>
            <w:tcW w:w="4675" w:type="dxa"/>
            <w:tcBorders>
              <w:top w:val="nil"/>
              <w:bottom w:val="nil"/>
            </w:tcBorders>
          </w:tcPr>
          <w:p w14:paraId="269AF9B2" w14:textId="77777777" w:rsidR="004C5158" w:rsidRDefault="004C5158" w:rsidP="004C5158">
            <w:pPr>
              <w:spacing w:line="276" w:lineRule="auto"/>
            </w:pPr>
            <w:r>
              <w:t>Runs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269E447" w14:textId="77777777" w:rsidR="004C5158" w:rsidRDefault="004C5158" w:rsidP="004C5158">
            <w:pPr>
              <w:spacing w:line="276" w:lineRule="auto"/>
            </w:pPr>
            <w:r>
              <w:t>1.22</w:t>
            </w:r>
          </w:p>
        </w:tc>
      </w:tr>
      <w:tr w:rsidR="004C5158" w14:paraId="1EE6BDA1" w14:textId="77777777" w:rsidTr="004C5158">
        <w:tc>
          <w:tcPr>
            <w:tcW w:w="4675" w:type="dxa"/>
            <w:tcBorders>
              <w:top w:val="nil"/>
              <w:bottom w:val="nil"/>
            </w:tcBorders>
          </w:tcPr>
          <w:p w14:paraId="3AB4080E" w14:textId="77777777" w:rsidR="004C5158" w:rsidRDefault="004C5158" w:rsidP="004C5158">
            <w:pPr>
              <w:spacing w:line="276" w:lineRule="auto"/>
            </w:pPr>
            <w:r>
              <w:t>surface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7A5CE44" w14:textId="77777777" w:rsidR="004C5158" w:rsidRDefault="004C5158" w:rsidP="004C5158">
            <w:pPr>
              <w:spacing w:line="276" w:lineRule="auto"/>
            </w:pPr>
            <w:r>
              <w:t>1.17</w:t>
            </w:r>
          </w:p>
        </w:tc>
      </w:tr>
      <w:tr w:rsidR="004C5158" w14:paraId="65C337D3" w14:textId="77777777" w:rsidTr="004C5158">
        <w:tc>
          <w:tcPr>
            <w:tcW w:w="4675" w:type="dxa"/>
            <w:tcBorders>
              <w:top w:val="nil"/>
              <w:bottom w:val="nil"/>
            </w:tcBorders>
          </w:tcPr>
          <w:p w14:paraId="15058270" w14:textId="77777777" w:rsidR="004C5158" w:rsidRDefault="004C5158" w:rsidP="004C5158">
            <w:pPr>
              <w:spacing w:line="276" w:lineRule="auto"/>
            </w:pPr>
            <w:proofErr w:type="spellStart"/>
            <w:r>
              <w:t>daysOpenLastYear</w:t>
            </w:r>
            <w:proofErr w:type="spellEnd"/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0F69B7F7" w14:textId="77777777" w:rsidR="004C5158" w:rsidRDefault="004C5158" w:rsidP="004C5158">
            <w:pPr>
              <w:spacing w:line="276" w:lineRule="auto"/>
            </w:pPr>
            <w:r>
              <w:t>1.15</w:t>
            </w:r>
          </w:p>
        </w:tc>
      </w:tr>
      <w:tr w:rsidR="004C5158" w14:paraId="27411DD8" w14:textId="77777777" w:rsidTr="004C5158">
        <w:tc>
          <w:tcPr>
            <w:tcW w:w="4675" w:type="dxa"/>
            <w:tcBorders>
              <w:top w:val="nil"/>
              <w:bottom w:val="nil"/>
            </w:tcBorders>
          </w:tcPr>
          <w:p w14:paraId="0D41833B" w14:textId="77777777" w:rsidR="004C5158" w:rsidRDefault="004C5158" w:rsidP="004C5158">
            <w:pPr>
              <w:spacing w:line="276" w:lineRule="auto"/>
            </w:pPr>
            <w:proofErr w:type="spellStart"/>
            <w:r>
              <w:t>base_elev</w:t>
            </w:r>
            <w:proofErr w:type="spellEnd"/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5541F4A" w14:textId="77777777" w:rsidR="004C5158" w:rsidRDefault="004C5158" w:rsidP="004C5158">
            <w:pPr>
              <w:spacing w:line="276" w:lineRule="auto"/>
            </w:pPr>
            <w:r>
              <w:t>1.02</w:t>
            </w:r>
          </w:p>
        </w:tc>
      </w:tr>
      <w:tr w:rsidR="004C5158" w14:paraId="154B4B02" w14:textId="77777777" w:rsidTr="004C5158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0822B7A5" w14:textId="77777777" w:rsidR="004C5158" w:rsidRDefault="004C5158" w:rsidP="004C5158">
            <w:pPr>
              <w:spacing w:line="276" w:lineRule="auto"/>
            </w:pPr>
            <w:proofErr w:type="spellStart"/>
            <w:r>
              <w:t>fastQuads</w:t>
            </w:r>
            <w:proofErr w:type="spellEnd"/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6EBF60E" w14:textId="77777777" w:rsidR="004C5158" w:rsidRDefault="004C5158" w:rsidP="004C5158">
            <w:pPr>
              <w:spacing w:line="276" w:lineRule="auto"/>
            </w:pPr>
            <w:r>
              <w:t>0.68</w:t>
            </w:r>
          </w:p>
        </w:tc>
      </w:tr>
    </w:tbl>
    <w:p w14:paraId="04894FFD" w14:textId="77777777" w:rsidR="00E03DE9" w:rsidRDefault="00E03DE9" w:rsidP="004C5158">
      <w:pPr>
        <w:spacing w:line="276" w:lineRule="auto"/>
      </w:pPr>
    </w:p>
    <w:p w14:paraId="029EB35F" w14:textId="77777777" w:rsidR="00355273" w:rsidRDefault="00355273" w:rsidP="00BC6108">
      <w:pPr>
        <w:spacing w:line="276" w:lineRule="auto"/>
        <w:ind w:firstLine="418"/>
      </w:pPr>
    </w:p>
    <w:p w14:paraId="3B987E2B" w14:textId="77777777" w:rsidR="00355273" w:rsidRDefault="00355273" w:rsidP="00BC6108">
      <w:pPr>
        <w:spacing w:line="276" w:lineRule="auto"/>
        <w:ind w:firstLine="418"/>
      </w:pPr>
    </w:p>
    <w:p w14:paraId="2EF299D4" w14:textId="77777777" w:rsidR="00355273" w:rsidRDefault="00355273" w:rsidP="00BC6108">
      <w:pPr>
        <w:spacing w:line="276" w:lineRule="auto"/>
        <w:ind w:firstLine="418"/>
      </w:pPr>
    </w:p>
    <w:p w14:paraId="33A2FFA5" w14:textId="77777777" w:rsidR="00355273" w:rsidRDefault="00355273" w:rsidP="00BC6108">
      <w:pPr>
        <w:spacing w:line="276" w:lineRule="auto"/>
        <w:ind w:firstLine="418"/>
      </w:pPr>
    </w:p>
    <w:p w14:paraId="2A28F323" w14:textId="77777777" w:rsidR="00355273" w:rsidRDefault="00355273" w:rsidP="00BC6108">
      <w:pPr>
        <w:spacing w:line="276" w:lineRule="auto"/>
        <w:ind w:firstLine="418"/>
      </w:pPr>
    </w:p>
    <w:p w14:paraId="4034DA64" w14:textId="77777777" w:rsidR="00355273" w:rsidRDefault="00355273" w:rsidP="00BC6108">
      <w:pPr>
        <w:spacing w:line="276" w:lineRule="auto"/>
        <w:ind w:firstLine="418"/>
      </w:pPr>
    </w:p>
    <w:p w14:paraId="31C0163D" w14:textId="2574978C" w:rsidR="00355273" w:rsidRDefault="00BC6108" w:rsidP="00355273">
      <w:pPr>
        <w:spacing w:line="276" w:lineRule="auto"/>
        <w:ind w:firstLine="418"/>
        <w:sectPr w:rsidR="00355273" w:rsidSect="00754A72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 xml:space="preserve">The relationship of adult weekend price and variables including average snow fall, </w:t>
      </w:r>
      <w:proofErr w:type="spellStart"/>
      <w:r>
        <w:t>vertical_drop</w:t>
      </w:r>
      <w:proofErr w:type="spellEnd"/>
      <w:r>
        <w:t xml:space="preserve">, and </w:t>
      </w:r>
      <w:proofErr w:type="spellStart"/>
      <w:r>
        <w:t>daysOpenLastYear</w:t>
      </w:r>
      <w:proofErr w:type="spellEnd"/>
      <w:r>
        <w:t xml:space="preserve"> were visualized in the figures belo</w:t>
      </w:r>
      <w:r w:rsidR="00355273">
        <w:t>w:</w:t>
      </w:r>
    </w:p>
    <w:p w14:paraId="18D91E7F" w14:textId="62ECCEA2" w:rsidR="00355273" w:rsidRDefault="00355273" w:rsidP="004C5158">
      <w:pPr>
        <w:spacing w:line="276" w:lineRule="auto"/>
        <w:sectPr w:rsidR="00355273" w:rsidSect="003552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CFA616" w14:textId="77777777" w:rsidR="00355273" w:rsidRDefault="00355273" w:rsidP="004C5158">
      <w:pPr>
        <w:spacing w:line="276" w:lineRule="auto"/>
      </w:pPr>
    </w:p>
    <w:p w14:paraId="1E7F9863" w14:textId="77777777" w:rsidR="00066A2C" w:rsidRDefault="00066A2C" w:rsidP="004C5158">
      <w:pPr>
        <w:spacing w:line="276" w:lineRule="auto"/>
        <w:sectPr w:rsidR="00066A2C" w:rsidSect="003552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A7489" w14:textId="19885708" w:rsidR="00BC6108" w:rsidRDefault="00BC6108" w:rsidP="004C5158">
      <w:pPr>
        <w:spacing w:line="276" w:lineRule="auto"/>
      </w:pPr>
      <w:r w:rsidRPr="00BC6108">
        <w:drawing>
          <wp:inline distT="0" distB="0" distL="0" distR="0" wp14:anchorId="3F4CD0FC" wp14:editId="6E1C48C9">
            <wp:extent cx="2926080" cy="194584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E526868-A648-7A42-A4AC-5B4CA425D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E526868-A648-7A42-A4AC-5B4CA425DF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903" w14:textId="68508011" w:rsidR="00BC6108" w:rsidRDefault="00BC6108" w:rsidP="004C5158">
      <w:pPr>
        <w:spacing w:line="276" w:lineRule="auto"/>
      </w:pPr>
      <w:r w:rsidRPr="00BC6108">
        <w:drawing>
          <wp:inline distT="0" distB="0" distL="0" distR="0" wp14:anchorId="1887B900" wp14:editId="35AEAF6D">
            <wp:extent cx="2926080" cy="189334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94FE8AC-BF09-E049-B24F-0633F6AF18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94FE8AC-BF09-E049-B24F-0633F6AF18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7941" w14:textId="77777777" w:rsidR="00066A2C" w:rsidRDefault="00066A2C" w:rsidP="004C5158">
      <w:pPr>
        <w:spacing w:line="276" w:lineRule="auto"/>
        <w:sectPr w:rsidR="00066A2C" w:rsidSect="00066A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4E0149" w14:textId="2005D693" w:rsidR="00BC6108" w:rsidRDefault="00BC6108" w:rsidP="004C5158">
      <w:pPr>
        <w:spacing w:line="276" w:lineRule="auto"/>
      </w:pPr>
      <w:r w:rsidRPr="00BC6108">
        <w:drawing>
          <wp:inline distT="0" distB="0" distL="0" distR="0" wp14:anchorId="7391F6C5" wp14:editId="5BDEC9D8">
            <wp:extent cx="3017520" cy="1948492"/>
            <wp:effectExtent l="0" t="0" r="508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F42DE07-8869-EC40-9EF0-A03F496F9A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F42DE07-8869-EC40-9EF0-A03F496F9A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7F3955" w14:textId="54C75528" w:rsidR="00355273" w:rsidRDefault="00355273" w:rsidP="004C5158">
      <w:pPr>
        <w:spacing w:line="276" w:lineRule="auto"/>
      </w:pPr>
    </w:p>
    <w:p w14:paraId="71626F30" w14:textId="77777777" w:rsidR="00BC6108" w:rsidRDefault="00BC6108" w:rsidP="004C5158">
      <w:pPr>
        <w:spacing w:line="276" w:lineRule="auto"/>
      </w:pPr>
    </w:p>
    <w:p w14:paraId="6F676AB3" w14:textId="1EA33736" w:rsidR="004D325C" w:rsidRDefault="004D325C" w:rsidP="00553BD7">
      <w:pPr>
        <w:spacing w:line="276" w:lineRule="auto"/>
        <w:ind w:firstLine="418"/>
      </w:pPr>
      <w:r>
        <w:t xml:space="preserve">To sum up, we recommend to increase the adult </w:t>
      </w:r>
      <w:r w:rsidR="00E03DE9">
        <w:t>weekend</w:t>
      </w:r>
      <w:r>
        <w:t xml:space="preserve"> ticket price to $89.5, which would allow Big Mountain Resort to keep a business profit margin of 9.2% this season with the increased operation costs, based on our model prediction. </w:t>
      </w:r>
      <w:r w:rsidR="004E1C41">
        <w:t xml:space="preserve">This increasement is acceptable based on the average levels of average snowfall, and vertical drop of other resorts in the database. </w:t>
      </w:r>
      <w:r w:rsidR="004C5158">
        <w:t xml:space="preserve">However, constrains may exist, e.g. the </w:t>
      </w:r>
      <w:r>
        <w:t>actual number of days open in the upcoming season may be less than the projected</w:t>
      </w:r>
      <w:r w:rsidR="004C5158">
        <w:t xml:space="preserve">. Therefore, we may gather more data, and add additional strategies. </w:t>
      </w:r>
    </w:p>
    <w:p w14:paraId="6D754139" w14:textId="77777777" w:rsidR="003A5884" w:rsidRPr="003A5884" w:rsidRDefault="009B22DF" w:rsidP="003A5884">
      <w:r>
        <w:t xml:space="preserve"> </w:t>
      </w:r>
    </w:p>
    <w:sectPr w:rsidR="003A5884" w:rsidRPr="003A5884" w:rsidSect="003552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C574" w14:textId="77777777" w:rsidR="001F41DE" w:rsidRDefault="001F41DE" w:rsidP="003A5884">
      <w:r>
        <w:separator/>
      </w:r>
    </w:p>
  </w:endnote>
  <w:endnote w:type="continuationSeparator" w:id="0">
    <w:p w14:paraId="0AE330CB" w14:textId="77777777" w:rsidR="001F41DE" w:rsidRDefault="001F41DE" w:rsidP="003A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4AA9A" w14:textId="77777777" w:rsidR="003A5884" w:rsidRDefault="003A5884">
    <w:pPr>
      <w:pStyle w:val="Footer"/>
    </w:pPr>
    <w:r w:rsidRPr="003A5884">
      <w:rPr>
        <w:i/>
        <w:sz w:val="22"/>
        <w:szCs w:val="22"/>
      </w:rPr>
      <w:t>Guided Capstone Project Report</w:t>
    </w:r>
    <w:r w:rsidRPr="003A5884">
      <w:rPr>
        <w:i/>
        <w:sz w:val="22"/>
        <w:szCs w:val="22"/>
      </w:rPr>
      <w:ptab w:relativeTo="margin" w:alignment="right" w:leader="none"/>
    </w:r>
    <w:r w:rsidRPr="003A5884">
      <w:rPr>
        <w:i/>
        <w:sz w:val="22"/>
        <w:szCs w:val="22"/>
      </w:rPr>
      <w:t>H. Liao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EE77B" w14:textId="77777777" w:rsidR="001F41DE" w:rsidRDefault="001F41DE" w:rsidP="003A5884">
      <w:r>
        <w:separator/>
      </w:r>
    </w:p>
  </w:footnote>
  <w:footnote w:type="continuationSeparator" w:id="0">
    <w:p w14:paraId="4645F0EB" w14:textId="77777777" w:rsidR="001F41DE" w:rsidRDefault="001F41DE" w:rsidP="003A5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30"/>
    <w:rsid w:val="00066A2C"/>
    <w:rsid w:val="000C7F74"/>
    <w:rsid w:val="000E2BC1"/>
    <w:rsid w:val="000E3176"/>
    <w:rsid w:val="00102918"/>
    <w:rsid w:val="001F41DE"/>
    <w:rsid w:val="002E0EA1"/>
    <w:rsid w:val="00355273"/>
    <w:rsid w:val="00396828"/>
    <w:rsid w:val="00397159"/>
    <w:rsid w:val="003A5884"/>
    <w:rsid w:val="003C3951"/>
    <w:rsid w:val="004C5158"/>
    <w:rsid w:val="004D325C"/>
    <w:rsid w:val="004E1C41"/>
    <w:rsid w:val="00503C9D"/>
    <w:rsid w:val="00553BD7"/>
    <w:rsid w:val="006249F3"/>
    <w:rsid w:val="00754A72"/>
    <w:rsid w:val="00895630"/>
    <w:rsid w:val="009425FD"/>
    <w:rsid w:val="009A02AC"/>
    <w:rsid w:val="009B22DF"/>
    <w:rsid w:val="00A53C66"/>
    <w:rsid w:val="00B57340"/>
    <w:rsid w:val="00BC6108"/>
    <w:rsid w:val="00C10008"/>
    <w:rsid w:val="00DF6F88"/>
    <w:rsid w:val="00E0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0ECC"/>
  <w15:chartTrackingRefBased/>
  <w15:docId w15:val="{A53BE701-8CB9-4A43-BF4E-4AD20BC4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4"/>
  </w:style>
  <w:style w:type="paragraph" w:styleId="Footer">
    <w:name w:val="footer"/>
    <w:basedOn w:val="Normal"/>
    <w:link w:val="FooterChar"/>
    <w:uiPriority w:val="99"/>
    <w:unhideWhenUsed/>
    <w:rsid w:val="003A5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4"/>
  </w:style>
  <w:style w:type="table" w:styleId="TableGrid">
    <w:name w:val="Table Grid"/>
    <w:basedOn w:val="TableNormal"/>
    <w:uiPriority w:val="39"/>
    <w:rsid w:val="004C5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F11757-5A64-A246-B12A-983002F2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Hehuan Liao</dc:creator>
  <cp:keywords/>
  <dc:description/>
  <cp:lastModifiedBy>Hehuan Liao</cp:lastModifiedBy>
  <cp:revision>10</cp:revision>
  <dcterms:created xsi:type="dcterms:W3CDTF">2020-07-21T05:45:00Z</dcterms:created>
  <dcterms:modified xsi:type="dcterms:W3CDTF">2020-07-22T21:48:00Z</dcterms:modified>
</cp:coreProperties>
</file>