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办公设备与软件资产管理办法</w:t>
      </w:r>
    </w:p>
    <w:p>
      <w:pPr>
        <w:pStyle w:val="Heading1"/>
      </w:pPr>
      <w:r>
        <w:t>第一章 总则</w:t>
      </w:r>
    </w:p>
    <w:p>
      <w:r>
        <w:t>为规范办公设备与软件资产的配发、使用和报废，保障信息安全，制定本办法。</w:t>
      </w:r>
    </w:p>
    <w:p>
      <w:pPr>
        <w:pStyle w:val="Heading1"/>
      </w:pPr>
      <w:r>
        <w:t>第二章 设备配发与报废</w:t>
      </w:r>
    </w:p>
    <w:p>
      <w:r>
        <w:t>员工入职时按岗位配发办公设备，各类设备的标准配置、使用年限与报废审批如下：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设备类别</w:t>
            </w:r>
          </w:p>
        </w:tc>
        <w:tc>
          <w:tcPr>
            <w:tcW w:type="dxa" w:w="2160"/>
          </w:tcPr>
          <w:p>
            <w:r>
              <w:t>标准配置</w:t>
            </w:r>
          </w:p>
        </w:tc>
        <w:tc>
          <w:tcPr>
            <w:tcW w:type="dxa" w:w="2160"/>
          </w:tcPr>
          <w:p>
            <w:r>
              <w:t>使用年限</w:t>
            </w:r>
          </w:p>
        </w:tc>
        <w:tc>
          <w:tcPr>
            <w:tcW w:type="dxa" w:w="2160"/>
          </w:tcPr>
          <w:p>
            <w:r>
              <w:t>报废审批</w:t>
            </w:r>
          </w:p>
        </w:tc>
      </w:tr>
      <w:tr>
        <w:tc>
          <w:tcPr>
            <w:tcW w:type="dxa" w:w="2160"/>
          </w:tcPr>
          <w:p>
            <w:r>
              <w:t>笔记本电脑</w:t>
            </w:r>
          </w:p>
        </w:tc>
        <w:tc>
          <w:tcPr>
            <w:tcW w:type="dxa" w:w="2160"/>
          </w:tcPr>
          <w:p>
            <w:r>
              <w:t>14 英寸，16 GB 内存</w:t>
            </w:r>
          </w:p>
        </w:tc>
        <w:tc>
          <w:tcPr>
            <w:tcW w:type="dxa" w:w="2160"/>
          </w:tcPr>
          <w:p>
            <w:r>
              <w:t>4 年</w:t>
            </w:r>
          </w:p>
        </w:tc>
        <w:tc>
          <w:tcPr>
            <w:tcW w:type="dxa" w:w="2160"/>
          </w:tcPr>
          <w:p>
            <w:r>
              <w:t>部门负责人</w:t>
            </w:r>
          </w:p>
        </w:tc>
      </w:tr>
      <w:tr>
        <w:tc>
          <w:tcPr>
            <w:tcW w:type="dxa" w:w="2160"/>
          </w:tcPr>
          <w:p>
            <w:r>
              <w:t>台式电脑</w:t>
            </w:r>
          </w:p>
        </w:tc>
        <w:tc>
          <w:tcPr>
            <w:tcW w:type="dxa" w:w="2160"/>
          </w:tcPr>
          <w:p>
            <w:r>
              <w:t>27 英寸显示器，16 GB 内存</w:t>
            </w:r>
          </w:p>
        </w:tc>
        <w:tc>
          <w:tcPr>
            <w:tcW w:type="dxa" w:w="2160"/>
          </w:tcPr>
          <w:p>
            <w:r>
              <w:t>5 年</w:t>
            </w:r>
          </w:p>
        </w:tc>
        <w:tc>
          <w:tcPr>
            <w:tcW w:type="dxa" w:w="2160"/>
          </w:tcPr>
          <w:p>
            <w:r>
              <w:t>部门负责人</w:t>
            </w:r>
          </w:p>
        </w:tc>
      </w:tr>
      <w:tr>
        <w:tc>
          <w:tcPr>
            <w:tcW w:type="dxa" w:w="2160"/>
          </w:tcPr>
          <w:p>
            <w:r>
              <w:t>打印复印一体机</w:t>
            </w:r>
          </w:p>
        </w:tc>
        <w:tc>
          <w:tcPr>
            <w:tcW w:type="dxa" w:w="2160"/>
          </w:tcPr>
          <w:p>
            <w:r>
              <w:t>A3 幅面，网络打印</w:t>
            </w:r>
          </w:p>
        </w:tc>
        <w:tc>
          <w:tcPr>
            <w:tcW w:type="dxa" w:w="2160"/>
          </w:tcPr>
          <w:p>
            <w:r>
              <w:t>6 年</w:t>
            </w:r>
          </w:p>
        </w:tc>
        <w:tc>
          <w:tcPr>
            <w:tcW w:type="dxa" w:w="2160"/>
          </w:tcPr>
          <w:p>
            <w:r>
              <w:t>综合管理部</w:t>
            </w:r>
          </w:p>
        </w:tc>
      </w:tr>
      <w:tr>
        <w:tc>
          <w:tcPr>
            <w:tcW w:type="dxa" w:w="2160"/>
          </w:tcPr>
          <w:p>
            <w:r>
              <w:t>工作手机</w:t>
            </w:r>
          </w:p>
        </w:tc>
        <w:tc>
          <w:tcPr>
            <w:tcW w:type="dxa" w:w="2160"/>
          </w:tcPr>
          <w:p>
            <w:r>
              <w:t>公司统一采购机型</w:t>
            </w:r>
          </w:p>
        </w:tc>
        <w:tc>
          <w:tcPr>
            <w:tcW w:type="dxa" w:w="2160"/>
          </w:tcPr>
          <w:p>
            <w:r>
              <w:t>3 年</w:t>
            </w:r>
          </w:p>
        </w:tc>
        <w:tc>
          <w:tcPr>
            <w:tcW w:type="dxa" w:w="2160"/>
          </w:tcPr>
          <w:p>
            <w:r>
              <w:t>部门负责人</w:t>
            </w:r>
          </w:p>
        </w:tc>
      </w:tr>
    </w:tbl>
    <w:p>
      <w:r>
        <w:t>设备达到使用年限且无法修复的，由使用部门提出报废申请，按上表审批。</w:t>
      </w:r>
    </w:p>
    <w:p>
      <w:pPr>
        <w:pStyle w:val="Heading1"/>
      </w:pPr>
      <w:r>
        <w:t>第三章 软件管理</w:t>
      </w:r>
    </w:p>
    <w:p>
      <w:r>
        <w:t>员工只能安装公司软件目录中的软件，严禁安装盗版软件。需要目录外软件的，须提交申请，由信息科技部在 10 个工作日内完成安全评估。</w:t>
      </w:r>
    </w:p>
    <w:p>
      <w:pPr>
        <w:pStyle w:val="Heading1"/>
      </w:pPr>
      <w:r>
        <w:t>第四章 遗失与赔偿</w:t>
      </w:r>
    </w:p>
    <w:p>
      <w:r>
        <w:t>设备遗失须在 24 小时内报告信息科技部并申请远程锁定；因个人原因遗失或损坏的，按设备账面净值赔偿。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办公设备与软件资产管理办法</dc:title>
  <dc:subject/>
  <dc:creator>python-docx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