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anaged-it-services-agreement"/>
    <w:p>
      <w:pPr>
        <w:pStyle w:val="Heading1"/>
      </w:pPr>
      <w:r>
        <w:t xml:space="preserve">Managed IT Services Agreement</w:t>
      </w:r>
    </w:p>
    <w:p>
      <w:pPr>
        <w:pStyle w:val="FirstParagraph"/>
      </w:pPr>
      <w:r>
        <w:rPr>
          <w:b/>
          <w:bCs/>
        </w:rPr>
        <w:t xml:space="preserve">Provider:</w:t>
      </w:r>
      <w:r>
        <w:t xml:space="preserve"> </w:t>
      </w:r>
      <w:r>
        <w:t xml:space="preserve">Blue Harbor IT Services Ltd., 19 Quayside, Harbour City (</w:t>
      </w:r>
      <w:r>
        <w:t xml:space="preserve">“Blue Harbor”</w:t>
      </w:r>
      <w:r>
        <w:t xml:space="preserve">)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Example Corp, 200 Example Plaza, Example City (</w:t>
      </w:r>
      <w:r>
        <w:t xml:space="preserve">“Example Corp”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Agreement number:</w:t>
      </w:r>
      <w:r>
        <w:t xml:space="preserve"> </w:t>
      </w:r>
      <w:r>
        <w:t xml:space="preserve">MSA-CL-2026-007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1 March 2026</w:t>
      </w:r>
    </w:p>
    <w:bookmarkStart w:id="9" w:name="services"/>
    <w:p>
      <w:pPr>
        <w:pStyle w:val="Heading2"/>
      </w:pPr>
      <w:r>
        <w:t xml:space="preserve">1. Services</w:t>
      </w:r>
    </w:p>
    <w:p>
      <w:pPr>
        <w:pStyle w:val="FirstParagraph"/>
      </w:pPr>
      <w:r>
        <w:t xml:space="preserve">Blue Harbor provides the following managed IT services to Example Corp:</w:t>
      </w:r>
    </w:p>
    <w:p>
      <w:pPr>
        <w:pStyle w:val="Compact"/>
        <w:numPr>
          <w:ilvl w:val="0"/>
          <w:numId w:val="1001"/>
        </w:numPr>
      </w:pPr>
      <w:r>
        <w:t xml:space="preserve">Service desk for Example Corp’s 240 users, Monday to Friday 08:00 to 18:00 local time (8x5), by phone, email, and portal.</w:t>
      </w:r>
    </w:p>
    <w:p>
      <w:pPr>
        <w:pStyle w:val="Compact"/>
        <w:numPr>
          <w:ilvl w:val="0"/>
          <w:numId w:val="1001"/>
        </w:numPr>
      </w:pPr>
      <w:r>
        <w:t xml:space="preserve">Monitoring of Example Corp’s servers, network, and cloud workloads 24 hours a day, 7 days a week (24x7), with automated alerting.</w:t>
      </w:r>
    </w:p>
    <w:p>
      <w:pPr>
        <w:pStyle w:val="Compact"/>
        <w:numPr>
          <w:ilvl w:val="0"/>
          <w:numId w:val="1001"/>
        </w:numPr>
      </w:pPr>
      <w:r>
        <w:t xml:space="preserve">Patch management for servers and end-user devices on a monthly cycle, with emergency patches within 72 hours of a critical vulnerability notice.</w:t>
      </w:r>
    </w:p>
    <w:p>
      <w:pPr>
        <w:pStyle w:val="Compact"/>
        <w:numPr>
          <w:ilvl w:val="0"/>
          <w:numId w:val="1001"/>
        </w:numPr>
      </w:pPr>
      <w:r>
        <w:t xml:space="preserve">Backup of servers and file storage with daily incremental and weekly full backups, retained for 90 days, and a quarterly restore test.</w:t>
      </w:r>
    </w:p>
    <w:p>
      <w:pPr>
        <w:pStyle w:val="Compact"/>
        <w:numPr>
          <w:ilvl w:val="0"/>
          <w:numId w:val="1001"/>
        </w:numPr>
      </w:pPr>
      <w:r>
        <w:t xml:space="preserve">A named service delivery manager and a monthly service report.</w:t>
      </w:r>
    </w:p>
    <w:bookmarkEnd w:id="9"/>
    <w:bookmarkStart w:id="10" w:name="service-levels"/>
    <w:p>
      <w:pPr>
        <w:pStyle w:val="Heading2"/>
      </w:pPr>
      <w:r>
        <w:t xml:space="preserve">2. Service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  <w:tc>
          <w:tcPr/>
          <w:p>
            <w:pPr>
              <w:pStyle w:val="Compact"/>
            </w:pPr>
            <w:r>
              <w:t xml:space="preserve">Service credit if missed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 1 (critical)</w:t>
            </w:r>
          </w:p>
        </w:tc>
        <w:tc>
          <w:tcPr/>
          <w:p>
            <w:pPr>
              <w:pStyle w:val="Compact"/>
            </w:pPr>
            <w:r>
              <w:t xml:space="preserve">30 minutes, 24x7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10 percent of the monthly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 2 (high)</w:t>
            </w:r>
          </w:p>
        </w:tc>
        <w:tc>
          <w:tcPr/>
          <w:p>
            <w:pPr>
              <w:pStyle w:val="Compact"/>
            </w:pPr>
            <w:r>
              <w:t xml:space="preserve">1 hour, 24x7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5 percent of the monthly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 3 (medium)</w:t>
            </w:r>
          </w:p>
        </w:tc>
        <w:tc>
          <w:tcPr/>
          <w:p>
            <w:pPr>
              <w:pStyle w:val="Compact"/>
            </w:pPr>
            <w:r>
              <w:t xml:space="preserve">4 business hours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 4 (low)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10 business days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Monthly availability target for monitored production systems:</w:t>
      </w:r>
      <w:r>
        <w:t xml:space="preserve"> </w:t>
      </w:r>
      <w:r>
        <w:rPr>
          <w:b/>
          <w:bCs/>
        </w:rPr>
        <w:t xml:space="preserve">99.5 percent</w:t>
      </w:r>
      <w:r>
        <w:t xml:space="preserve">, excluding agreed maintenance windows. Service credits are capped at 20 percent of the monthly fee and are Example Corp’s sole remedy for missed service levels.</w:t>
      </w:r>
    </w:p>
    <w:bookmarkEnd w:id="10"/>
    <w:bookmarkStart w:id="11" w:name="fees"/>
    <w:p>
      <w:pPr>
        <w:pStyle w:val="Heading2"/>
      </w:pPr>
      <w:r>
        <w:t xml:space="preserve">3. Fees</w:t>
      </w:r>
    </w:p>
    <w:p>
      <w:pPr>
        <w:pStyle w:val="Compact"/>
        <w:numPr>
          <w:ilvl w:val="0"/>
          <w:numId w:val="1002"/>
        </w:numPr>
      </w:pPr>
      <w:r>
        <w:t xml:space="preserve">Monthly fee:</w:t>
      </w:r>
      <w:r>
        <w:t xml:space="preserve"> </w:t>
      </w:r>
      <w:r>
        <w:rPr>
          <w:b/>
          <w:bCs/>
        </w:rPr>
        <w:t xml:space="preserve">EUR 18,500</w:t>
      </w:r>
      <w:r>
        <w:t xml:space="preserve"> </w:t>
      </w:r>
      <w:r>
        <w:t xml:space="preserve">excluding sales tax, invoiced monthly in advance, payable within 30 days.</w:t>
      </w:r>
    </w:p>
    <w:p>
      <w:pPr>
        <w:pStyle w:val="Compact"/>
        <w:numPr>
          <w:ilvl w:val="0"/>
          <w:numId w:val="1002"/>
        </w:numPr>
      </w:pPr>
      <w:r>
        <w:t xml:space="preserve">Additional users above 240 are charged at EUR 55 per user per month. Project work outside the scope is quoted separately at the rate card in Annex B.</w:t>
      </w:r>
    </w:p>
    <w:p>
      <w:pPr>
        <w:pStyle w:val="Compact"/>
        <w:numPr>
          <w:ilvl w:val="0"/>
          <w:numId w:val="1002"/>
        </w:numPr>
      </w:pPr>
      <w:r>
        <w:t xml:space="preserve">Fees may be adjusted once per year on the anniversary of the effective date by the consumer price index published in the Provider’s home jurisdiction, with 60 days’ notice.</w:t>
      </w:r>
    </w:p>
    <w:bookmarkEnd w:id="11"/>
    <w:bookmarkStart w:id="12" w:name="term-and-termination"/>
    <w:p>
      <w:pPr>
        <w:pStyle w:val="Heading2"/>
      </w:pPr>
      <w:r>
        <w:t xml:space="preserve">4. Term and termination</w:t>
      </w:r>
    </w:p>
    <w:p>
      <w:pPr>
        <w:pStyle w:val="Compact"/>
        <w:numPr>
          <w:ilvl w:val="0"/>
          <w:numId w:val="1003"/>
        </w:numPr>
      </w:pPr>
      <w:r>
        <w:t xml:space="preserve">Initial term of</w:t>
      </w:r>
      <w:r>
        <w:t xml:space="preserve"> </w:t>
      </w:r>
      <w:r>
        <w:rPr>
          <w:b/>
          <w:bCs/>
        </w:rPr>
        <w:t xml:space="preserve">12 months</w:t>
      </w:r>
      <w:r>
        <w:t xml:space="preserve">, renewing automatically for further 12-month periods unless either party gives 90 days’ written notice.</w:t>
      </w:r>
    </w:p>
    <w:p>
      <w:pPr>
        <w:pStyle w:val="Compact"/>
        <w:numPr>
          <w:ilvl w:val="0"/>
          <w:numId w:val="1003"/>
        </w:numPr>
      </w:pPr>
      <w:r>
        <w:t xml:space="preserve">Either party may terminate for material breach not remedied within 30 days of notice.</w:t>
      </w:r>
    </w:p>
    <w:p>
      <w:pPr>
        <w:pStyle w:val="Compact"/>
        <w:numPr>
          <w:ilvl w:val="0"/>
          <w:numId w:val="1003"/>
        </w:numPr>
      </w:pPr>
      <w:r>
        <w:t xml:space="preserve">On termination Blue Harbor provides exit assistance for up to 60 days at the rate card and returns or deletes Example Corp data within 30 days.</w:t>
      </w:r>
    </w:p>
    <w:bookmarkEnd w:id="12"/>
    <w:bookmarkStart w:id="13" w:name="client-obligations"/>
    <w:p>
      <w:pPr>
        <w:pStyle w:val="Heading2"/>
      </w:pPr>
      <w:r>
        <w:t xml:space="preserve">5. Client obligations</w:t>
      </w:r>
    </w:p>
    <w:p>
      <w:pPr>
        <w:pStyle w:val="FirstParagraph"/>
      </w:pPr>
      <w:r>
        <w:t xml:space="preserve">Example Corp provides access to systems and premises as needed, names a primary contact, and keeps software licences current. Example Corp remains responsible for its own data and backups of systems outside the scope.</w:t>
      </w:r>
    </w:p>
    <w:bookmarkEnd w:id="13"/>
    <w:bookmarkStart w:id="14" w:name="data-protection"/>
    <w:p>
      <w:pPr>
        <w:pStyle w:val="Heading2"/>
      </w:pPr>
      <w:r>
        <w:t xml:space="preserve">6. Data protection</w:t>
      </w:r>
    </w:p>
    <w:p>
      <w:pPr>
        <w:pStyle w:val="FirstParagraph"/>
      </w:pPr>
      <w:r>
        <w:t xml:space="preserve">Blue Harbor processes personal data only on Example Corp’s instructions under the data processing agreement in Annex C. Sub-processors are listed in Annex C and updated with 30 days’ notice.</w:t>
      </w:r>
    </w:p>
    <w:bookmarkEnd w:id="14"/>
    <w:bookmarkStart w:id="15" w:name="liability"/>
    <w:p>
      <w:pPr>
        <w:pStyle w:val="Heading2"/>
      </w:pPr>
      <w:r>
        <w:t xml:space="preserve">7. Liability</w:t>
      </w:r>
    </w:p>
    <w:p>
      <w:pPr>
        <w:pStyle w:val="FirstParagraph"/>
      </w:pPr>
      <w:r>
        <w:t xml:space="preserve">Blue Harbor’s total liability under this agreement is limited to the fees paid in the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before the claim. Neither party is liable for indirect or consequential loss, except for breaches of confidentiality or data protection obligations.</w:t>
      </w:r>
    </w:p>
    <w:bookmarkEnd w:id="15"/>
    <w:bookmarkStart w:id="16" w:name="governing-law"/>
    <w:p>
      <w:pPr>
        <w:pStyle w:val="Heading2"/>
      </w:pPr>
      <w:r>
        <w:t xml:space="preserve">8. Governing law</w:t>
      </w:r>
    </w:p>
    <w:p>
      <w:pPr>
        <w:pStyle w:val="FirstParagraph"/>
      </w:pPr>
      <w:r>
        <w:t xml:space="preserve">The law of the jurisdiction in which Example Corp has its registered seat applies. Disputes are submitted to the competent court there.</w:t>
      </w:r>
    </w:p>
    <w:bookmarkEnd w:id="16"/>
    <w:bookmarkStart w:id="17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t xml:space="preserve">For Blue Harbor IT Services Ltd.: Ruben de Vries, Operations Director, 20 February 2026</w:t>
      </w:r>
      <w:r>
        <w:t xml:space="preserve"> </w:t>
      </w:r>
      <w:r>
        <w:t xml:space="preserve">For Example Corp: Dana Whitfield, Chief Information Officer, 24 February 2026</w:t>
      </w:r>
    </w:p>
    <w:p>
      <w:pPr>
        <w:pStyle w:val="BodyText"/>
      </w:pPr>
      <w:r>
        <w:rPr>
          <w:i/>
          <w:iCs/>
        </w:rPr>
        <w:t xml:space="preserve">This is a synthetic document created for demonstration purposes. The companies and people are fictional.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2026-09-09T10:10:57Z</dcterms:created>
  <dcterms:modified xsi:type="dcterms:W3CDTF">2026-09-09T10:10:57Z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