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example-corp-remote-work-policy"/>
    <w:p>
      <w:pPr>
        <w:pStyle w:val="Heading1"/>
      </w:pPr>
      <w:r>
        <w:t xml:space="preserve">Example Corp Remote Work Policy</w:t>
      </w:r>
    </w:p>
    <w:p>
      <w:pPr>
        <w:pStyle w:val="FirstParagraph"/>
      </w:pPr>
      <w:r>
        <w:t xml:space="preserve">Document owner: People Operations. Version 3.1, effective 1 February 2026. Applies to all employees of Example Corp.</w:t>
      </w:r>
    </w:p>
    <w:bookmarkStart w:id="9" w:name="purpose"/>
    <w:p>
      <w:pPr>
        <w:pStyle w:val="Heading2"/>
      </w:pPr>
      <w:r>
        <w:t xml:space="preserve">Purpose</w:t>
      </w:r>
    </w:p>
    <w:p>
      <w:pPr>
        <w:pStyle w:val="FirstParagraph"/>
      </w:pPr>
      <w:r>
        <w:t xml:space="preserve">This policy sets out who may work remotely, how often, and what is expected of remote employees and their managers. It complements the Password and Access Policy and the Data Classification and Handling Policy.</w:t>
      </w:r>
    </w:p>
    <w:bookmarkEnd w:id="9"/>
    <w:bookmarkStart w:id="10" w:name="eligibility"/>
    <w:p>
      <w:pPr>
        <w:pStyle w:val="Heading2"/>
      </w:pPr>
      <w:r>
        <w:t xml:space="preserve">Eligibility</w:t>
      </w:r>
    </w:p>
    <w:p>
      <w:pPr>
        <w:pStyle w:val="Compact"/>
        <w:numPr>
          <w:ilvl w:val="0"/>
          <w:numId w:val="1001"/>
        </w:numPr>
      </w:pPr>
      <w:r>
        <w:t xml:space="preserve">Employees are eligible for remote work after completing their probation period (six months).</w:t>
      </w:r>
    </w:p>
    <w:p>
      <w:pPr>
        <w:pStyle w:val="Compact"/>
        <w:numPr>
          <w:ilvl w:val="0"/>
          <w:numId w:val="1001"/>
        </w:numPr>
      </w:pPr>
      <w:r>
        <w:t xml:space="preserve">Roles that require physical presence, such as facilities, reception, and on-site client engineering, are not eligible for regular remote work. Occasional remote days may be agreed with the manager.</w:t>
      </w:r>
    </w:p>
    <w:p>
      <w:pPr>
        <w:pStyle w:val="Compact"/>
        <w:numPr>
          <w:ilvl w:val="0"/>
          <w:numId w:val="1001"/>
        </w:numPr>
      </w:pPr>
      <w:r>
        <w:t xml:space="preserve">Managers approve remote work arrangements in the HR portal at</w:t>
      </w:r>
      <w:r>
        <w:t xml:space="preserve"> </w:t>
      </w:r>
      <w:r>
        <w:rPr>
          <w:rStyle w:val="VerbatimChar"/>
        </w:rPr>
        <w:t xml:space="preserve">hr.example.corp</w:t>
      </w:r>
      <w:r>
        <w:t xml:space="preserve">. Arrangements are reviewed every twelve months.</w:t>
      </w:r>
    </w:p>
    <w:bookmarkEnd w:id="10"/>
    <w:bookmarkStart w:id="11" w:name="how-much-remote-work-is-allowed"/>
    <w:p>
      <w:pPr>
        <w:pStyle w:val="Heading2"/>
      </w:pPr>
      <w:r>
        <w:t xml:space="preserve">How much remote work is allowed</w:t>
      </w:r>
    </w:p>
    <w:p>
      <w:pPr>
        <w:pStyle w:val="Compact"/>
        <w:numPr>
          <w:ilvl w:val="0"/>
          <w:numId w:val="1002"/>
        </w:numPr>
      </w:pPr>
      <w:r>
        <w:t xml:space="preserve">Employees may work remotely up to</w:t>
      </w:r>
      <w:r>
        <w:t xml:space="preserve"> </w:t>
      </w:r>
      <w:r>
        <w:rPr>
          <w:b/>
          <w:bCs/>
        </w:rPr>
        <w:t xml:space="preserve">three days per week</w:t>
      </w:r>
      <w:r>
        <w:t xml:space="preserve">. At least two days per week are worked from the employee’s assigned office.</w:t>
      </w:r>
    </w:p>
    <w:p>
      <w:pPr>
        <w:pStyle w:val="Compact"/>
        <w:numPr>
          <w:ilvl w:val="0"/>
          <w:numId w:val="1002"/>
        </w:numPr>
      </w:pPr>
      <w:r>
        <w:t xml:space="preserve">Core hours are</w:t>
      </w:r>
      <w:r>
        <w:t xml:space="preserve"> </w:t>
      </w:r>
      <w:r>
        <w:rPr>
          <w:b/>
          <w:bCs/>
        </w:rPr>
        <w:t xml:space="preserve">10:00 to 15:00 local time</w:t>
      </w:r>
      <w:r>
        <w:t xml:space="preserve">. Employees must be reachable on Slack and email during core hours.</w:t>
      </w:r>
    </w:p>
    <w:p>
      <w:pPr>
        <w:pStyle w:val="Compact"/>
        <w:numPr>
          <w:ilvl w:val="0"/>
          <w:numId w:val="1002"/>
        </w:numPr>
      </w:pPr>
      <w:r>
        <w:t xml:space="preserve">Working from another country is allowed for up to</w:t>
      </w:r>
      <w:r>
        <w:t xml:space="preserve"> </w:t>
      </w:r>
      <w:r>
        <w:rPr>
          <w:b/>
          <w:bCs/>
        </w:rPr>
        <w:t xml:space="preserve">20 working days per calendar year</w:t>
      </w:r>
      <w:r>
        <w:t xml:space="preserve"> </w:t>
      </w:r>
      <w:r>
        <w:t xml:space="preserve">and requires written approval from the manager and People Operations at least two weeks in advance, because of tax and social security rules.</w:t>
      </w:r>
    </w:p>
    <w:bookmarkEnd w:id="11"/>
    <w:bookmarkStart w:id="12" w:name="equipment-and-expenses"/>
    <w:p>
      <w:pPr>
        <w:pStyle w:val="Heading2"/>
      </w:pPr>
      <w:r>
        <w:t xml:space="preserve">Equipment and expenses</w:t>
      </w:r>
    </w:p>
    <w:p>
      <w:pPr>
        <w:pStyle w:val="Compact"/>
        <w:numPr>
          <w:ilvl w:val="0"/>
          <w:numId w:val="1003"/>
        </w:numPr>
      </w:pPr>
      <w:r>
        <w:t xml:space="preserve">Example Corp provides the standard laptop, a headset, and one external monitor for the home office. Requests go through the IT service desk in line with the IT Equipment and Laptop Replacement Procedure.</w:t>
      </w:r>
    </w:p>
    <w:p>
      <w:pPr>
        <w:pStyle w:val="Compact"/>
        <w:numPr>
          <w:ilvl w:val="0"/>
          <w:numId w:val="1003"/>
        </w:numPr>
      </w:pPr>
      <w:r>
        <w:t xml:space="preserve">A one-time</w:t>
      </w:r>
      <w:r>
        <w:t xml:space="preserve"> </w:t>
      </w:r>
      <w:r>
        <w:rPr>
          <w:b/>
          <w:bCs/>
        </w:rPr>
        <w:t xml:space="preserve">home office allowance of EUR 300</w:t>
      </w:r>
      <w:r>
        <w:t xml:space="preserve"> </w:t>
      </w:r>
      <w:r>
        <w:t xml:space="preserve">is available for a desk or chair. It is claimed through the expense system with a receipt.</w:t>
      </w:r>
    </w:p>
    <w:p>
      <w:pPr>
        <w:pStyle w:val="Compact"/>
        <w:numPr>
          <w:ilvl w:val="0"/>
          <w:numId w:val="1003"/>
        </w:numPr>
      </w:pPr>
      <w:r>
        <w:t xml:space="preserve">A</w:t>
      </w:r>
      <w:r>
        <w:t xml:space="preserve"> </w:t>
      </w:r>
      <w:r>
        <w:rPr>
          <w:b/>
          <w:bCs/>
        </w:rPr>
        <w:t xml:space="preserve">home internet contribution of EUR 25 per month</w:t>
      </w:r>
      <w:r>
        <w:t xml:space="preserve"> </w:t>
      </w:r>
      <w:r>
        <w:t xml:space="preserve">is paid with salary to employees with an approved remote work arrangement. No receipt is needed.</w:t>
      </w:r>
    </w:p>
    <w:p>
      <w:pPr>
        <w:pStyle w:val="Compact"/>
        <w:numPr>
          <w:ilvl w:val="0"/>
          <w:numId w:val="1003"/>
        </w:numPr>
      </w:pPr>
      <w:r>
        <w:t xml:space="preserve">Consumables such as paper or printer ink are not reimbursed.</w:t>
      </w:r>
    </w:p>
    <w:bookmarkEnd w:id="12"/>
    <w:bookmarkStart w:id="13" w:name="security-requirements"/>
    <w:p>
      <w:pPr>
        <w:pStyle w:val="Heading2"/>
      </w:pPr>
      <w:r>
        <w:t xml:space="preserve">Security requirements</w:t>
      </w:r>
    </w:p>
    <w:p>
      <w:pPr>
        <w:pStyle w:val="Compact"/>
        <w:numPr>
          <w:ilvl w:val="0"/>
          <w:numId w:val="1004"/>
        </w:numPr>
      </w:pPr>
      <w:r>
        <w:t xml:space="preserve">Connect to the corporate VPN before accessing internal systems. Multi-factor authentication is mandatory, as described in the Password and Access Policy.</w:t>
      </w:r>
    </w:p>
    <w:p>
      <w:pPr>
        <w:pStyle w:val="Compact"/>
        <w:numPr>
          <w:ilvl w:val="0"/>
          <w:numId w:val="1004"/>
        </w:numPr>
      </w:pPr>
      <w:r>
        <w:t xml:space="preserve">Do not use public Wi-Fi without the VPN. Do not let household members use company devices.</w:t>
      </w:r>
    </w:p>
    <w:p>
      <w:pPr>
        <w:pStyle w:val="Compact"/>
        <w:numPr>
          <w:ilvl w:val="0"/>
          <w:numId w:val="1004"/>
        </w:numPr>
      </w:pPr>
      <w:r>
        <w:t xml:space="preserve">Confidential and Restricted information may not be printed at home. Lock the screen when stepping away and store the laptop out of sight when not in use.</w:t>
      </w:r>
    </w:p>
    <w:p>
      <w:pPr>
        <w:pStyle w:val="Compact"/>
        <w:numPr>
          <w:ilvl w:val="0"/>
          <w:numId w:val="1004"/>
        </w:numPr>
      </w:pPr>
      <w:r>
        <w:t xml:space="preserve">Report a lost or stolen device to the IT service desk within</w:t>
      </w:r>
      <w:r>
        <w:t xml:space="preserve"> </w:t>
      </w:r>
      <w:r>
        <w:rPr>
          <w:b/>
          <w:bCs/>
        </w:rPr>
        <w:t xml:space="preserve">24 hours</w:t>
      </w:r>
      <w:r>
        <w:t xml:space="preserve"> </w:t>
      </w:r>
      <w:r>
        <w:t xml:space="preserve">(extension 4000 or</w:t>
      </w:r>
      <w:r>
        <w:t xml:space="preserve"> </w:t>
      </w:r>
      <w:r>
        <w:rPr>
          <w:rStyle w:val="VerbatimChar"/>
        </w:rPr>
        <w:t xml:space="preserve">servicedesk@example.corp</w:t>
      </w:r>
      <w:r>
        <w:t xml:space="preserve">).</w:t>
      </w:r>
    </w:p>
    <w:bookmarkEnd w:id="13"/>
    <w:bookmarkStart w:id="14" w:name="health-and-safety"/>
    <w:p>
      <w:pPr>
        <w:pStyle w:val="Heading2"/>
      </w:pPr>
      <w:r>
        <w:t xml:space="preserve">Health and safety</w:t>
      </w:r>
    </w:p>
    <w:p>
      <w:pPr>
        <w:pStyle w:val="FirstParagraph"/>
      </w:pPr>
      <w:r>
        <w:t xml:space="preserve">Employees are responsible for a safe home workspace. People Operations provides a self-assessment checklist; complete it once when the arrangement starts and after any move.</w:t>
      </w:r>
    </w:p>
    <w:bookmarkEnd w:id="14"/>
    <w:bookmarkStart w:id="15" w:name="ending-or-changing-an-arrangement"/>
    <w:p>
      <w:pPr>
        <w:pStyle w:val="Heading2"/>
      </w:pPr>
      <w:r>
        <w:t xml:space="preserve">Ending or changing an arrangement</w:t>
      </w:r>
    </w:p>
    <w:p>
      <w:pPr>
        <w:pStyle w:val="FirstParagraph"/>
      </w:pPr>
      <w:r>
        <w:t xml:space="preserve">Either the employee or the manager may end a remote work arrangement with four weeks’ notice. Example Corp may suspend remote work during a security incident or when business needs require presence in the office.</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2026-09-09T10:10:50Z</dcterms:created>
  <dcterms:modified xsi:type="dcterms:W3CDTF">2026-09-09T10:10:50Z</dcterms:modified>
</cp:coreProperties>
</file>

<file path=docProps/custom.xml><?xml version="1.0" encoding="utf-8"?>
<Properties xmlns="http://schemas.openxmlformats.org/officeDocument/2006/custom-properties" xmlns:vt="http://schemas.openxmlformats.org/officeDocument/2006/docPropsVTypes"/>
</file>