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24"/>
        </w:rPr>
        <w:t xml:space="preserve">Finding PCSK9 SNPs affecting LDL-C levels </w:t>
      </w:r>
      <w:r>
        <w:rPr>
          <w:b/>
          <w:sz w:val="24"/>
        </w:rPr>
        <w:t>in Chinese populations</w:t>
      </w:r>
    </w:p>
    <w:p>
      <w:pPr>
        <w:pStyle w:val="Normal"/>
        <w:rPr/>
      </w:pPr>
      <w:r>
        <w:rPr/>
      </w:r>
    </w:p>
    <w:p>
      <w:pPr>
        <w:pStyle w:val="Normal"/>
        <w:rPr/>
      </w:pPr>
      <w:r>
        <w:rPr/>
        <w:t xml:space="preserve">Finding PCSK9 variants affecting LDL-C level in Chinese population </w:t>
      </w:r>
    </w:p>
    <w:p>
      <w:pPr>
        <w:pStyle w:val="Normal"/>
        <w:pBdr>
          <w:bottom w:val="single" w:sz="2" w:space="2" w:color="000000"/>
        </w:pBdr>
        <w:rPr/>
      </w:pPr>
      <w:r>
        <w:rPr/>
      </w:r>
    </w:p>
    <w:p>
      <w:pPr>
        <w:pStyle w:val="Normal"/>
        <w:rPr/>
      </w:pPr>
      <w:r>
        <w:rPr/>
      </w:r>
    </w:p>
    <w:p>
      <w:pPr>
        <w:pStyle w:val="Normal"/>
        <w:rPr/>
      </w:pPr>
      <w:r>
        <w:rPr/>
        <w:t xml:space="preserve">LDL-C (Low-Density Lipoprotein Cholesterol) level in bloodstream is a significant health factor. It has been </w:t>
      </w:r>
      <w:r>
        <w:rPr/>
        <w:t xml:space="preserve">well </w:t>
      </w:r>
      <w:r>
        <w:rPr/>
        <w:t>established that high LDL-C leads to increased cardiovascular risk. Given the measurement of LDL-C concentration, and the genotype data, we can perform association studies in Chinese cohorts to identify the relevant genes, and the corresponding genetic variants.</w:t>
      </w:r>
    </w:p>
    <w:p>
      <w:pPr>
        <w:pStyle w:val="Normal"/>
        <w:rPr/>
      </w:pPr>
      <w:r>
        <w:rPr/>
      </w:r>
    </w:p>
    <w:p>
      <w:pPr>
        <w:pStyle w:val="Normal"/>
        <w:rPr/>
      </w:pPr>
      <w:r>
        <w:rPr/>
        <w:t xml:space="preserve">PCSK9 (proprotein convertase subtilisin/kexin type 9) is one of the relevant genes. </w:t>
      </w:r>
      <w:r>
        <w:rPr/>
        <w:t>The</w:t>
      </w:r>
      <w:r>
        <w:rPr/>
        <w:t xml:space="preserve"> convertase bind</w:t>
      </w:r>
      <w:r>
        <w:rPr/>
        <w:t>s</w:t>
      </w:r>
      <w:r>
        <w:rPr/>
        <w:t xml:space="preserve"> to LDLR (Low-Density Lipoprotein Receptor) and cause</w:t>
      </w:r>
      <w:r>
        <w:rPr/>
        <w:t>s</w:t>
      </w:r>
      <w:r>
        <w:rPr/>
        <w:t xml:space="preserve"> its degradation. While LDLR removes LDL-C from circulation on the surface of liver, inactivation of the protein </w:t>
      </w:r>
      <w:r>
        <w:rPr/>
        <w:t xml:space="preserve">induces </w:t>
      </w:r>
      <w:r>
        <w:rPr/>
        <w:t xml:space="preserve">higher LDL-C </w:t>
      </w:r>
      <w:r>
        <w:rPr/>
        <w:t xml:space="preserve">levels </w:t>
      </w:r>
      <w:r>
        <w:rPr/>
        <w:t xml:space="preserve">and increased risk of cardiovascular events. </w:t>
      </w:r>
    </w:p>
    <w:p>
      <w:pPr>
        <w:pStyle w:val="Normal"/>
        <w:rPr/>
      </w:pPr>
      <w:r>
        <w:rPr/>
      </w:r>
    </w:p>
    <w:p>
      <w:pPr>
        <w:pStyle w:val="Normal"/>
        <w:rPr/>
      </w:pPr>
      <w:r>
        <w:rPr/>
        <w:t xml:space="preserve">PCSK9 was intensively studied in Caucasian populations. Drugs blocking the protein have been developed to reduce LDL-C level in blood. </w:t>
      </w:r>
    </w:p>
    <w:p>
      <w:pPr>
        <w:pStyle w:val="Normal"/>
        <w:rPr/>
      </w:pPr>
      <w:r>
        <w:rPr/>
      </w:r>
    </w:p>
    <w:p>
      <w:pPr>
        <w:pStyle w:val="Normal"/>
        <w:rPr/>
      </w:pPr>
      <w:r>
        <w:rPr/>
        <w:t>Given some Caucasian PCSK9 variants identified as associated with LDL-C are absent from or present at low frequencies in Chinese, we seek to identify additional PCSK9 variants associated with LDL-C levels in Chinese populations.</w:t>
      </w:r>
    </w:p>
    <w:p>
      <w:pPr>
        <w:pStyle w:val="Normal"/>
        <w:pBdr>
          <w:bottom w:val="single" w:sz="2" w:space="2" w:color="000000"/>
        </w:pBdr>
        <w:rPr/>
      </w:pPr>
      <w:r>
        <w:rPr/>
      </w:r>
    </w:p>
    <w:p>
      <w:pPr>
        <w:pStyle w:val="Normal"/>
        <w:rPr/>
      </w:pPr>
      <w:r>
        <w:rPr/>
      </w:r>
    </w:p>
    <w:p>
      <w:pPr>
        <w:pStyle w:val="Normal"/>
        <w:rPr/>
      </w:pPr>
      <w:r>
        <w:rPr/>
        <w:t xml:space="preserve">The genotype data set is the CKB genotyping phase1-2, QC stage 3. </w:t>
      </w:r>
    </w:p>
    <w:p>
      <w:pPr>
        <w:pStyle w:val="Normal"/>
        <w:rPr/>
      </w:pPr>
      <w:r>
        <w:rPr/>
        <w:t xml:space="preserve">Only autosome SNPs were used, leaving 636670 variations and 32205 subjects in the set. </w:t>
      </w:r>
    </w:p>
    <w:p>
      <w:pPr>
        <w:pStyle w:val="Normal"/>
        <w:rPr/>
      </w:pPr>
      <w:r>
        <w:rPr/>
      </w:r>
    </w:p>
    <w:p>
      <w:pPr>
        <w:pStyle w:val="Normal"/>
        <w:rPr/>
      </w:pPr>
      <w:r>
        <w:rPr/>
        <w:t xml:space="preserve">Two types of LDL-C levels were used in this study. The indirect values were estimated using the </w:t>
      </w:r>
      <w:r>
        <w:rPr/>
        <w:t xml:space="preserve">Friedewald </w:t>
      </w:r>
      <w:r>
        <w:rPr/>
        <w:t xml:space="preserve">equation (?). The direct measurements were from </w:t>
      </w:r>
      <w:r>
        <w:rPr/>
        <w:t xml:space="preserve">enzymatic assay. </w:t>
      </w:r>
      <w:r>
        <w:rPr/>
        <w:t>(?)</w:t>
      </w:r>
    </w:p>
    <w:p>
      <w:pPr>
        <w:pStyle w:val="Normal"/>
        <w:rPr/>
      </w:pPr>
      <w:r>
        <w:rPr/>
      </w:r>
    </w:p>
    <w:p>
      <w:pPr>
        <w:pStyle w:val="Normal"/>
        <w:rPr/>
      </w:pPr>
      <w:r>
        <w:rPr/>
        <w:t xml:space="preserve">The direct LDL-C measurements were from the file LDL-c_biochem_data.xlsx in directory K:\kadoorie\Groups\Genetics\PROJECTS\PCSK9. </w:t>
      </w:r>
    </w:p>
    <w:p>
      <w:pPr>
        <w:pStyle w:val="Normal"/>
        <w:rPr/>
      </w:pPr>
      <w:r>
        <w:rPr/>
      </w:r>
    </w:p>
    <w:p>
      <w:pPr>
        <w:pStyle w:val="Normal"/>
        <w:rPr/>
      </w:pPr>
      <w:r>
        <w:rPr/>
        <w:t xml:space="preserve">The indirect LDL-C values </w:t>
      </w:r>
      <w:r>
        <w:rPr/>
        <w:t>and subjects ages</w:t>
      </w:r>
      <w:r>
        <w:rPr/>
        <w:t xml:space="preserve"> were obtained using the CKB data request form snapshot 1</w:t>
      </w:r>
      <w:r>
        <w:rPr/>
        <w:t>0.</w:t>
      </w:r>
    </w:p>
    <w:p>
      <w:pPr>
        <w:pStyle w:val="Normal"/>
        <w:rPr/>
      </w:pPr>
      <w:r>
        <w:rPr/>
      </w:r>
    </w:p>
    <w:p>
      <w:pPr>
        <w:pStyle w:val="Normal"/>
        <w:rPr/>
      </w:pPr>
      <w:r>
        <w:rPr>
          <w:lang w:eastAsia="en-GB"/>
        </w:rPr>
        <w:t>Subject stratification was based on the file GWAS_SNPdata_samples.xlsx from directory  K:\kadoorie\Groups\Genetics\Data Archive\Project Sample Lists\Lists\</w:t>
      </w:r>
    </w:p>
    <w:p>
      <w:pPr>
        <w:pStyle w:val="Normal"/>
        <w:rPr>
          <w:lang w:eastAsia="en-GB"/>
        </w:rPr>
      </w:pPr>
      <w:r>
        <w:rPr/>
      </w:r>
    </w:p>
    <w:p>
      <w:pPr>
        <w:pStyle w:val="Normal"/>
        <w:rPr>
          <w:lang w:eastAsia="en-GB"/>
        </w:rPr>
      </w:pPr>
      <w:r>
        <w:rPr/>
      </w:r>
    </w:p>
    <w:p>
      <w:pPr>
        <w:pStyle w:val="Normal"/>
        <w:pBdr>
          <w:bottom w:val="single" w:sz="2" w:space="2" w:color="000000"/>
        </w:pBdr>
        <w:rPr/>
      </w:pPr>
      <w:r>
        <w:rPr/>
      </w:r>
    </w:p>
    <w:p>
      <w:pPr>
        <w:pStyle w:val="Normal"/>
        <w:rPr/>
      </w:pPr>
      <w:r>
        <w:rPr/>
      </w:r>
    </w:p>
    <w:p>
      <w:pPr>
        <w:pStyle w:val="Normal"/>
        <w:rPr/>
      </w:pPr>
      <w:r>
        <w:rPr/>
        <w:t>1. PCA (Principal Component Analysis)</w:t>
      </w:r>
    </w:p>
    <w:p>
      <w:pPr>
        <w:pStyle w:val="Normal"/>
        <w:rPr/>
      </w:pPr>
      <w:r>
        <w:rPr/>
      </w:r>
    </w:p>
    <w:p>
      <w:pPr>
        <w:pStyle w:val="Normal"/>
        <w:rPr/>
      </w:pPr>
      <w:r>
        <w:rPr/>
        <w:t xml:space="preserve">PCA components are often employed as covariates in association studies to account for population structure. A LD(Linkage Disequilibrium)-free subset of 120201 SNPs was selected. Before PCA we used </w:t>
      </w:r>
      <w:r>
        <w:rPr/>
        <w:t>Plink</w:t>
      </w:r>
      <w:r>
        <w:rPr/>
        <w:t xml:space="preserve"> to estimate pairwise IBD (identity-by-descent) distances between all pairs of subjects. Pairs of subjects with IBD values higher than 0.05 were considered as related. </w:t>
      </w:r>
    </w:p>
    <w:p>
      <w:pPr>
        <w:pStyle w:val="Normal"/>
        <w:rPr/>
      </w:pPr>
      <w:r>
        <w:rPr/>
      </w:r>
    </w:p>
    <w:p>
      <w:pPr>
        <w:pStyle w:val="Normal"/>
        <w:rPr/>
      </w:pPr>
      <w:r>
        <w:rPr/>
        <w:t xml:space="preserve">We used an iterative approach to remove the relatives. Given the network of related individuals, the degrees of connections were calculated. The most connected node (subject) was ejected. And the degrees were updated then. The process was iterated till no left subjects were related to each other. </w:t>
      </w:r>
    </w:p>
    <w:p>
      <w:pPr>
        <w:pStyle w:val="Normal"/>
        <w:rPr/>
      </w:pPr>
      <w:r>
        <w:rPr/>
        <w:t xml:space="preserve">6990 subjects were discharged. PCA was performed using the others and projected onto the discharged one later. Plink and eigensoft produced very similar results. We used the Plink components. </w:t>
      </w:r>
    </w:p>
    <w:p>
      <w:pPr>
        <w:pStyle w:val="Normal"/>
        <w:pBdr>
          <w:bottom w:val="single" w:sz="2" w:space="2" w:color="000000"/>
        </w:pBdr>
        <w:rPr/>
      </w:pPr>
      <w:r>
        <w:rPr/>
      </w:r>
    </w:p>
    <w:p>
      <w:pPr>
        <w:pStyle w:val="Normal"/>
        <w:rPr/>
      </w:pPr>
      <w:r>
        <w:rPr/>
      </w:r>
    </w:p>
    <w:p>
      <w:pPr>
        <w:pStyle w:val="Normal"/>
        <w:rPr/>
      </w:pPr>
      <w:r>
        <w:rPr/>
      </w:r>
    </w:p>
    <w:p>
      <w:pPr>
        <w:pStyle w:val="Normal"/>
        <w:rPr/>
      </w:pPr>
      <w:r>
        <w:rPr/>
        <w:t xml:space="preserve">2. </w:t>
      </w:r>
      <w:r>
        <w:rPr>
          <w:lang w:eastAsia="en-GB"/>
        </w:rPr>
        <w:t>(stratification details here)</w:t>
      </w:r>
    </w:p>
    <w:p>
      <w:pPr>
        <w:pStyle w:val="Normal"/>
        <w:rPr>
          <w:lang w:eastAsia="en-GB"/>
        </w:rPr>
      </w:pPr>
      <w:r>
        <w:rPr/>
      </w:r>
    </w:p>
    <w:p>
      <w:pPr>
        <w:pStyle w:val="Normal"/>
        <w:pBdr>
          <w:bottom w:val="single" w:sz="2" w:space="2" w:color="000000"/>
        </w:pBdr>
        <w:rPr>
          <w:lang w:eastAsia="en-GB"/>
        </w:rPr>
      </w:pPr>
      <w:r>
        <w:rPr/>
      </w:r>
    </w:p>
    <w:p>
      <w:pPr>
        <w:pStyle w:val="Normal"/>
        <w:rPr>
          <w:lang w:eastAsia="en-GB"/>
        </w:rPr>
      </w:pPr>
      <w:r>
        <w:rPr/>
      </w:r>
    </w:p>
    <w:p>
      <w:pPr>
        <w:pStyle w:val="Normal"/>
        <w:rPr>
          <w:lang w:eastAsia="en-GB"/>
        </w:rPr>
      </w:pPr>
      <w:r>
        <w:rPr/>
      </w:r>
    </w:p>
    <w:p>
      <w:pPr>
        <w:pStyle w:val="Normal"/>
        <w:rPr/>
      </w:pPr>
      <w:r>
        <w:rPr>
          <w:lang w:eastAsia="en-GB"/>
        </w:rPr>
        <w:t xml:space="preserve">3. </w:t>
      </w:r>
      <w:r>
        <w:rPr>
          <w:lang w:eastAsia="en-GB"/>
        </w:rPr>
        <w:t>linear regression</w:t>
      </w:r>
    </w:p>
    <w:p>
      <w:pPr>
        <w:pStyle w:val="Normal"/>
        <w:rPr>
          <w:lang w:eastAsia="en-GB"/>
        </w:rPr>
      </w:pPr>
      <w:r>
        <w:rPr/>
      </w:r>
    </w:p>
    <w:p>
      <w:pPr>
        <w:pStyle w:val="Normal"/>
        <w:rPr/>
      </w:pPr>
      <w:r>
        <w:rPr>
          <w:lang w:eastAsia="en-GB"/>
        </w:rPr>
        <w:t xml:space="preserve">We employed Plink for genome-wide linear regression. Genetic variants were regressed against raw LDL-C levels in each stratum. Covariates including the region code, sex, age and the 10 leading principal components were applied. For the smallest stratum (stratum 3), we used only sex, age and the 2 leading components. </w:t>
      </w:r>
    </w:p>
    <w:p>
      <w:pPr>
        <w:pStyle w:val="Normal"/>
        <w:pBdr>
          <w:bottom w:val="single" w:sz="2" w:space="2" w:color="000000"/>
        </w:pBdr>
        <w:rPr>
          <w:lang w:eastAsia="en-GB"/>
        </w:rPr>
      </w:pPr>
      <w:r>
        <w:rPr/>
      </w:r>
    </w:p>
    <w:p>
      <w:pPr>
        <w:pStyle w:val="Normal"/>
        <w:rPr>
          <w:lang w:eastAsia="en-GB"/>
        </w:rPr>
      </w:pPr>
      <w:r>
        <w:rPr/>
      </w:r>
    </w:p>
    <w:p>
      <w:pPr>
        <w:pStyle w:val="Normal"/>
        <w:rPr/>
      </w:pPr>
      <w:r>
        <w:rPr>
          <w:lang w:eastAsia="en-GB"/>
        </w:rPr>
        <w:t>4. RINT (</w:t>
      </w:r>
      <w:r>
        <w:rPr>
          <w:lang w:eastAsia="en-GB"/>
        </w:rPr>
        <w:t>Rank I</w:t>
      </w:r>
      <w:r>
        <w:rPr>
          <w:lang w:eastAsia="en-GB"/>
        </w:rPr>
        <w:t>nverse-</w:t>
      </w:r>
      <w:r>
        <w:rPr>
          <w:lang w:eastAsia="en-GB"/>
        </w:rPr>
        <w:t>N</w:t>
      </w:r>
      <w:r>
        <w:rPr>
          <w:lang w:eastAsia="en-GB"/>
        </w:rPr>
        <w:t xml:space="preserve">ormal </w:t>
      </w:r>
      <w:r>
        <w:rPr>
          <w:lang w:eastAsia="en-GB"/>
        </w:rPr>
        <w:t>T</w:t>
      </w:r>
      <w:r>
        <w:rPr>
          <w:lang w:eastAsia="en-GB"/>
        </w:rPr>
        <w:t>ransformed</w:t>
      </w:r>
      <w:r>
        <w:rPr>
          <w:lang w:eastAsia="en-GB"/>
        </w:rPr>
        <w:t>)</w:t>
      </w:r>
    </w:p>
    <w:p>
      <w:pPr>
        <w:pStyle w:val="Normal"/>
        <w:rPr>
          <w:lang w:eastAsia="en-GB"/>
        </w:rPr>
      </w:pPr>
      <w:r>
        <w:rPr/>
      </w:r>
    </w:p>
    <w:p>
      <w:pPr>
        <w:pStyle w:val="Normal"/>
        <w:rPr/>
      </w:pPr>
      <w:r>
        <w:rPr>
          <w:lang w:eastAsia="en-GB"/>
        </w:rPr>
        <w:t xml:space="preserve">For each stratum, the </w:t>
      </w:r>
      <w:r>
        <w:rPr>
          <w:lang w:eastAsia="en-GB"/>
        </w:rPr>
        <w:t>raw</w:t>
      </w:r>
      <w:r>
        <w:rPr>
          <w:lang w:eastAsia="en-GB"/>
        </w:rPr>
        <w:t xml:space="preserve"> LDL-C values were regressed against the region code, sex and age. We rank inverse-normal transformed the residuals to obtained phenotype sets </w:t>
      </w:r>
      <w:r>
        <w:rPr>
          <w:lang w:eastAsia="en-GB"/>
        </w:rPr>
        <w:t>following</w:t>
      </w:r>
      <w:r>
        <w:rPr>
          <w:lang w:eastAsia="en-GB"/>
        </w:rPr>
        <w:t xml:space="preserve"> the standard normal distribution. In the linear regression of these RINT LDL-C values, we used only the 10 leading principal components as covariates (2 leading components only for stratum 3).</w:t>
      </w:r>
    </w:p>
    <w:p>
      <w:pPr>
        <w:pStyle w:val="Normal"/>
        <w:pBdr>
          <w:bottom w:val="single" w:sz="2" w:space="2" w:color="000000"/>
        </w:pBdr>
        <w:rPr>
          <w:lang w:eastAsia="en-GB"/>
        </w:rPr>
      </w:pPr>
      <w:r>
        <w:rPr/>
      </w:r>
    </w:p>
    <w:p>
      <w:pPr>
        <w:pStyle w:val="Normal"/>
        <w:rPr>
          <w:lang w:eastAsia="en-GB"/>
        </w:rPr>
      </w:pPr>
      <w:r>
        <w:rPr/>
      </w:r>
    </w:p>
    <w:p>
      <w:pPr>
        <w:pStyle w:val="Normal"/>
        <w:rPr/>
      </w:pPr>
      <w:r>
        <w:rPr>
          <w:lang w:eastAsia="en-GB"/>
        </w:rPr>
        <w:t>5. meta-analysis</w:t>
      </w:r>
    </w:p>
    <w:p>
      <w:pPr>
        <w:pStyle w:val="Normal"/>
        <w:rPr>
          <w:lang w:eastAsia="en-GB"/>
        </w:rPr>
      </w:pPr>
      <w:r>
        <w:rPr/>
      </w:r>
    </w:p>
    <w:p>
      <w:pPr>
        <w:pStyle w:val="Normal"/>
        <w:rPr/>
      </w:pPr>
      <w:r>
        <w:rPr>
          <w:lang w:eastAsia="en-GB"/>
        </w:rPr>
        <w:t xml:space="preserve">Genome-wide meta-analysis were performed using Metal. </w:t>
      </w:r>
    </w:p>
    <w:p>
      <w:pPr>
        <w:pStyle w:val="Normal"/>
        <w:rPr>
          <w:lang w:eastAsia="en-GB"/>
        </w:rPr>
      </w:pPr>
      <w:r>
        <w:rPr/>
      </w:r>
    </w:p>
    <w:p>
      <w:pPr>
        <w:pStyle w:val="Normal"/>
        <w:rPr/>
      </w:pPr>
      <w:r>
        <w:rPr>
          <w:lang w:eastAsia="en-GB"/>
        </w:rPr>
        <w:t xml:space="preserve">Because of the heterogeneity between the direct and indirect LDL-C values, two meta-analysis were executed. </w:t>
      </w:r>
    </w:p>
    <w:p>
      <w:pPr>
        <w:pStyle w:val="Normal"/>
        <w:rPr/>
      </w:pPr>
      <w:r>
        <w:rPr>
          <w:lang w:eastAsia="en-GB"/>
        </w:rPr>
        <w:t xml:space="preserve">First we combined the beta and the standard deviation of beta estimated in the linear regression of the first five strata, using the inverse-variance-weighted fixed-effects scheme. The result of the association of the direct LDL-C values were then combined with the linear regression results of stratum 6 applying the same scheme. </w:t>
      </w:r>
    </w:p>
    <w:p>
      <w:pPr>
        <w:pStyle w:val="Normal"/>
        <w:pBdr>
          <w:bottom w:val="single" w:sz="2" w:space="2" w:color="000000"/>
        </w:pBdr>
        <w:rPr>
          <w:lang w:eastAsia="en-GB"/>
        </w:rPr>
      </w:pPr>
      <w:r>
        <w:rPr/>
      </w:r>
    </w:p>
    <w:p>
      <w:pPr>
        <w:pStyle w:val="Normal"/>
        <w:rPr>
          <w:lang w:eastAsia="en-GB"/>
        </w:rPr>
      </w:pPr>
      <w:r>
        <w:rPr/>
      </w:r>
    </w:p>
    <w:p>
      <w:pPr>
        <w:pStyle w:val="Normal"/>
        <w:rPr/>
      </w:pPr>
      <w:r>
        <w:rPr>
          <w:lang w:eastAsia="en-GB"/>
        </w:rPr>
        <w:t>6. meta results</w:t>
      </w:r>
    </w:p>
    <w:p>
      <w:pPr>
        <w:pStyle w:val="Normal"/>
        <w:rPr>
          <w:lang w:eastAsia="en-GB"/>
        </w:rPr>
      </w:pPr>
      <w:r>
        <w:rPr/>
      </w:r>
    </w:p>
    <w:p>
      <w:pPr>
        <w:pStyle w:val="Normal"/>
        <w:rPr>
          <w:lang w:eastAsia="en-GB"/>
        </w:rPr>
      </w:pPr>
      <w:r>
        <w:rPr/>
      </w:r>
    </w:p>
    <w:p>
      <w:pPr>
        <w:pStyle w:val="Normal"/>
        <w:pBdr>
          <w:bottom w:val="single" w:sz="2" w:space="2" w:color="000000"/>
        </w:pBdr>
        <w:rPr>
          <w:lang w:eastAsia="en-GB"/>
        </w:rPr>
      </w:pPr>
      <w:r>
        <w:rPr/>
      </w:r>
    </w:p>
    <w:p>
      <w:pPr>
        <w:pStyle w:val="Normal"/>
        <w:rPr>
          <w:lang w:eastAsia="en-GB"/>
        </w:rPr>
      </w:pPr>
      <w:r>
        <w:rPr/>
      </w:r>
    </w:p>
    <w:p>
      <w:pPr>
        <w:pStyle w:val="Normal"/>
        <w:rPr>
          <w:lang w:eastAsia="en-GB"/>
        </w:rPr>
      </w:pPr>
      <w:r>
        <w:rPr/>
      </w:r>
    </w:p>
    <w:p>
      <w:pPr>
        <w:pStyle w:val="Normal"/>
        <w:rPr/>
      </w:pPr>
      <w:r>
        <w:rPr>
          <w:lang w:eastAsia="en-GB"/>
        </w:rPr>
        <w:t>7. condition on SNPs.</w:t>
      </w:r>
    </w:p>
    <w:p>
      <w:pPr>
        <w:pStyle w:val="Normal"/>
        <w:rPr>
          <w:lang w:eastAsia="en-GB"/>
        </w:rPr>
      </w:pPr>
      <w:r>
        <w:rPr/>
      </w:r>
    </w:p>
    <w:p>
      <w:pPr>
        <w:pStyle w:val="Normal"/>
        <w:rPr>
          <w:lang w:eastAsia="en-GB"/>
        </w:rPr>
      </w:pPr>
      <w:r>
        <w:rPr/>
      </w:r>
    </w:p>
    <w:p>
      <w:pPr>
        <w:pStyle w:val="Normal"/>
        <w:rPr>
          <w:lang w:eastAsia="en-GB"/>
        </w:rPr>
      </w:pPr>
      <w:r>
        <w:rPr/>
      </w:r>
    </w:p>
    <w:p>
      <w:pPr>
        <w:pStyle w:val="Normal"/>
        <w:rPr>
          <w:lang w:eastAsia="en-GB"/>
        </w:rPr>
      </w:pPr>
      <w:r>
        <w:rPr/>
      </w:r>
    </w:p>
    <w:p>
      <w:pPr>
        <w:pStyle w:val="Normal"/>
        <w:rPr>
          <w:lang w:eastAsia="en-GB"/>
        </w:rPr>
      </w:pPr>
      <w:r>
        <w:rPr/>
      </w:r>
    </w:p>
    <w:p>
      <w:pPr>
        <w:pStyle w:val="Normal"/>
        <w:rPr>
          <w:lang w:eastAsia="en-GB"/>
        </w:rPr>
      </w:pPr>
      <w:r>
        <w:rPr/>
      </w:r>
    </w:p>
    <w:p>
      <w:pPr>
        <w:pStyle w:val="Normal"/>
        <w:rPr/>
      </w:pPr>
      <w:r>
        <w:rPr/>
      </w:r>
    </w:p>
    <w:p>
      <w:pPr>
        <w:pStyle w:val="Normal"/>
        <w:rPr/>
      </w:pPr>
      <w:r>
        <w:rPr/>
      </w:r>
    </w:p>
    <w:p>
      <w:pPr>
        <w:pStyle w:val="Normal"/>
        <w:rPr/>
      </w:pPr>
      <w:r>
        <w:rPr/>
      </w:r>
    </w:p>
    <w:p>
      <w:pPr>
        <w:pStyle w:val="Normal"/>
        <w:rPr/>
      </w:pPr>
      <w:r>
        <w:rPr/>
        <w:t>Summary:</w:t>
      </w:r>
    </w:p>
    <w:p>
      <w:pPr>
        <w:pStyle w:val="Normal"/>
        <w:rPr/>
      </w:pPr>
      <w:r>
        <w:rPr/>
      </w:r>
    </w:p>
    <w:p>
      <w:pPr>
        <w:pStyle w:val="Normal"/>
        <w:rPr/>
      </w:pPr>
      <w:r>
        <w:rPr/>
        <w:t>Given the measurements of LDL-C (Low-Density Lipoprotein Cholesterol) concentration, and the ge</w:t>
      </w:r>
      <w:r>
        <w:rPr/>
        <w:t xml:space="preserve">notype </w:t>
      </w:r>
      <w:r>
        <w:rPr/>
        <w:t xml:space="preserve">data, we can perform association studies </w:t>
      </w:r>
      <w:r>
        <w:rPr/>
        <w:t xml:space="preserve">in Chinese cohorts </w:t>
      </w:r>
      <w:r>
        <w:rPr/>
        <w:t xml:space="preserve">to identify </w:t>
      </w:r>
      <w:r>
        <w:rPr/>
        <w:t xml:space="preserve">the </w:t>
      </w:r>
      <w:r>
        <w:rPr/>
        <w:t xml:space="preserve">relevant genes, and </w:t>
      </w:r>
      <w:r>
        <w:rPr/>
        <w:t>the corresponding</w:t>
      </w:r>
      <w:r>
        <w:rPr/>
        <w:t xml:space="preserve"> genetic variants.</w:t>
      </w:r>
    </w:p>
    <w:p>
      <w:pPr>
        <w:pStyle w:val="Normal"/>
        <w:rPr/>
      </w:pPr>
      <w:r>
        <w:rPr/>
        <w:t xml:space="preserve">PCSK9 (proprotein convertase subtilisin/kexin type 9) is </w:t>
      </w:r>
      <w:r>
        <w:rPr/>
        <w:t xml:space="preserve">one of the relevant genes. </w:t>
      </w:r>
      <w:r>
        <w:rPr/>
        <w:t xml:space="preserve">The protein </w:t>
      </w:r>
      <w:r>
        <w:rPr/>
        <w:t>binds</w:t>
      </w:r>
      <w:r>
        <w:rPr/>
        <w:t xml:space="preserve"> </w:t>
      </w:r>
      <w:r>
        <w:rPr/>
        <w:t xml:space="preserve">to LDLR (Low-Density Lipoprotein </w:t>
      </w:r>
      <w:r>
        <w:rPr/>
        <w:t>receptor</w:t>
      </w:r>
      <w:r>
        <w:rPr/>
        <w:t>)</w:t>
      </w:r>
      <w:r>
        <w:rPr/>
        <w:t xml:space="preserve"> on the surface of liver </w:t>
      </w:r>
      <w:r>
        <w:rPr/>
        <w:t xml:space="preserve">and causes it </w:t>
      </w:r>
      <w:r>
        <w:rPr/>
        <w:t xml:space="preserve">to degrade. Less active </w:t>
      </w:r>
      <w:r>
        <w:rPr/>
        <w:t>LDLR</w:t>
      </w:r>
      <w:r>
        <w:rPr/>
        <w:t xml:space="preserve"> removing LDL-C from </w:t>
      </w:r>
      <w:r>
        <w:rPr/>
        <w:t>circulation</w:t>
      </w:r>
      <w:r>
        <w:rPr/>
        <w:t xml:space="preserve"> leads to higher LDL-C concentration and increased risk of cardiovascular events. </w:t>
      </w:r>
      <w:r>
        <w:rPr/>
        <w:t>The gene was intensively studied with Caucasian populations. D</w:t>
      </w:r>
      <w:r>
        <w:rPr/>
        <w:t xml:space="preserve">rugs blocking </w:t>
      </w:r>
      <w:r>
        <w:rPr/>
        <w:t>the protein</w:t>
      </w:r>
      <w:r>
        <w:rPr/>
        <w:t xml:space="preserve"> have been developed to reduce LDL-C concentration </w:t>
      </w:r>
      <w:r>
        <w:rPr/>
        <w:t xml:space="preserve">in blood. </w:t>
      </w:r>
    </w:p>
    <w:p>
      <w:pPr>
        <w:pStyle w:val="Normal"/>
        <w:rPr/>
      </w:pPr>
      <w:r>
        <w:rPr/>
        <w:t>Given some Caucasian PCSK9 variants identified as associated with LDL-C are absent from or present at low frequencies in Chinese, we seek to identify additional PCSK9 variants associated with LDL-C levels in Chinese populations.</w:t>
      </w:r>
    </w:p>
    <w:p>
      <w:pPr>
        <w:pStyle w:val="Normal"/>
        <w:rPr/>
      </w:pPr>
      <w:r>
        <w:rPr/>
      </w:r>
    </w:p>
    <w:p>
      <w:pPr>
        <w:pStyle w:val="Normal"/>
        <w:rPr/>
      </w:pPr>
      <w:r>
        <w:rPr/>
        <w:t xml:space="preserve">The original genotype data is the stage3 set from /kuser/shared/data/GWASphase12 on nc2. Only autosome SNPs are used, leaving 636670 variants and 32205 people in the set. </w:t>
      </w:r>
    </w:p>
    <w:p>
      <w:pPr>
        <w:pStyle w:val="Normal"/>
        <w:rPr/>
      </w:pPr>
      <w:r>
        <w:rPr/>
        <w:t xml:space="preserve">The direct LDL-C measurements are from </w:t>
      </w:r>
      <w:r>
        <w:rPr>
          <w:lang w:eastAsia="en-GB"/>
        </w:rPr>
        <w:t xml:space="preserve">LDL-c_biochem_data.xlsx in K:\kadoorie\Groups\Genetics\PROJECTS\PCSK9. </w:t>
      </w:r>
    </w:p>
    <w:p>
      <w:pPr>
        <w:pStyle w:val="Normal"/>
        <w:rPr/>
      </w:pPr>
      <w:r>
        <w:rPr>
          <w:lang w:eastAsia="en-GB"/>
        </w:rPr>
        <w:t xml:space="preserve">The indirect LDL-C data are from the data request form CKB snapshot 10. </w:t>
      </w:r>
    </w:p>
    <w:p>
      <w:pPr>
        <w:pStyle w:val="Normal"/>
        <w:rPr>
          <w:lang w:eastAsia="en-GB"/>
        </w:rPr>
      </w:pPr>
      <w:r>
        <w:rPr/>
      </w:r>
    </w:p>
    <w:p>
      <w:pPr>
        <w:pStyle w:val="ListParagraph"/>
        <w:numPr>
          <w:ilvl w:val="0"/>
          <w:numId w:val="1"/>
        </w:numPr>
        <w:rPr/>
      </w:pPr>
      <w:r>
        <w:rPr/>
        <w:t xml:space="preserve">PCA </w:t>
      </w:r>
    </w:p>
    <w:p>
      <w:pPr>
        <w:pStyle w:val="Normal"/>
        <w:rPr/>
      </w:pPr>
      <w:r>
        <w:rPr/>
        <w:t xml:space="preserve">A LD (Linkage Disequilibrium) - free subset of 120201 SNPs was used for pairwise identity-by-descent (IBD) estimates for all pairs of subjects. Pairs of subjects with IBD values higher than 0.05 were considered as related. In the network of related subjects, the most connected subject would be removed. Then the connection degrees were updated. The process </w:t>
      </w:r>
      <w:r>
        <w:rPr/>
        <w:t xml:space="preserve">was </w:t>
      </w:r>
      <w:r>
        <w:rPr/>
        <w:t xml:space="preserve">iterated till no subjects were related to each other. 6990 subjects were ejected during </w:t>
      </w:r>
      <w:r>
        <w:rPr/>
        <w:t>the iterations</w:t>
      </w:r>
      <w:r>
        <w:rPr/>
        <w:t xml:space="preserve">. Principle component analysis (PCA) was performed using plink on the rest and projected to the removed subjects. Eigensoft produced very similar results. </w:t>
      </w:r>
    </w:p>
    <w:p>
      <w:pPr>
        <w:pStyle w:val="ListParagraph"/>
        <w:rPr/>
      </w:pPr>
      <w:r>
        <w:rPr/>
      </w:r>
    </w:p>
    <w:p>
      <w:pPr>
        <w:pStyle w:val="ListParagraph"/>
        <w:numPr>
          <w:ilvl w:val="0"/>
          <w:numId w:val="1"/>
        </w:numPr>
        <w:rPr/>
      </w:pPr>
      <w:r>
        <w:rPr>
          <w:lang w:eastAsia="en-GB"/>
        </w:rPr>
        <w:t>Sample stratification and linear regression</w:t>
      </w:r>
    </w:p>
    <w:p>
      <w:pPr>
        <w:pStyle w:val="Normal"/>
        <w:rPr/>
      </w:pPr>
      <w:r>
        <w:rPr>
          <w:lang w:eastAsia="en-GB"/>
        </w:rPr>
        <w:t xml:space="preserve">Given GWAS_SNPdata_samples.xlsx from  K:\kadoorie\Groups\Genetics\Data Archive\Project Sample Lists\Lists\, we grouped the subjects into 6 strata. </w:t>
      </w:r>
      <w:r>
        <w:br w:type="page"/>
      </w:r>
    </w:p>
    <w:p>
      <w:pPr>
        <w:pStyle w:val="Normal"/>
        <w:rPr>
          <w:lang w:eastAsia="en-GB"/>
        </w:rPr>
      </w:pPr>
      <w:r>
        <w:rPr>
          <w:lang w:eastAsia="en-GB"/>
        </w:rPr>
      </w:r>
    </w:p>
    <w:p>
      <w:pPr>
        <w:pStyle w:val="Normal"/>
        <w:rPr/>
      </w:pPr>
      <w:r>
        <w:rPr/>
        <w:t xml:space="preserve">We have direct measurements of LDL-C concentration for the first 5 strata, </w:t>
      </w:r>
      <w:r>
        <w:rPr/>
        <w:t xml:space="preserve">and indirect measures for the </w:t>
      </w:r>
      <w:r>
        <w:rPr/>
        <w:t>6</w:t>
      </w:r>
      <w:r>
        <w:rPr>
          <w:vertAlign w:val="superscript"/>
        </w:rPr>
        <w:t>th</w:t>
      </w:r>
      <w:r>
        <w:rPr/>
        <w:t xml:space="preserve">. </w:t>
      </w:r>
    </w:p>
    <w:p>
      <w:pPr>
        <w:pStyle w:val="Normal"/>
        <w:rPr/>
      </w:pPr>
      <w:r>
        <w:rPr/>
        <w:t xml:space="preserve">We performed genome-wide linear regression of the genetic variants against the LDL-C measurements with covariates including the region code, sex, age and the 10 leading principal components using plink. </w:t>
      </w:r>
      <w:r>
        <w:rPr/>
        <w:t>For</w:t>
      </w:r>
      <w:r>
        <w:rPr/>
        <w:t xml:space="preserve"> the smallest stratum (</w:t>
      </w:r>
      <w:r>
        <w:rPr/>
        <w:t>stratum 3</w:t>
      </w:r>
      <w:r>
        <w:rPr/>
        <w:t xml:space="preserve">), only sex, age and the 2 leading components were employed as covariates. </w:t>
      </w:r>
    </w:p>
    <w:p>
      <w:pPr>
        <w:pStyle w:val="Normal"/>
        <w:rPr/>
      </w:pPr>
      <w:r>
        <w:rPr/>
        <w:t xml:space="preserve">For each stratum, </w:t>
      </w:r>
      <w:r>
        <w:rPr/>
        <w:t>raw</w:t>
      </w:r>
      <w:r>
        <w:rPr/>
        <w:t xml:space="preserve"> LDL-C values were regressed against region, sex and age. We rank inverse-normal transformed (RINT) the residuals to obtained phenotype sets </w:t>
      </w:r>
      <w:r>
        <w:rPr/>
        <w:t>following</w:t>
      </w:r>
      <w:r>
        <w:rPr/>
        <w:t xml:space="preserve"> the standard normal distribution. In the linear regression of these RINT LDL-C values, we used only the 10 leading principal components as covariates (2 leading components only for the stratum 3).</w:t>
      </w:r>
    </w:p>
    <w:p>
      <w:pPr>
        <w:pStyle w:val="Normal"/>
        <w:rPr/>
      </w:pPr>
      <w:r>
        <w:rPr/>
        <w:t xml:space="preserve">The inflation factors (Lambda) of the GWAS are acceptable, range between 0.99 and 1.03. </w:t>
      </w:r>
    </w:p>
    <w:p>
      <w:pPr>
        <w:pStyle w:val="Normal"/>
        <w:rPr/>
      </w:pPr>
      <w:r>
        <w:rPr/>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Stratum 1, raw LDL-C</w:t>
            </w:r>
            <w:r>
              <w:rPr/>
              <w:drawing>
                <wp:inline distT="0" distB="0" distL="0" distR="2540">
                  <wp:extent cx="5731510" cy="259588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2, raw LDL-C</w:t>
            </w:r>
            <w:r>
              <w:rPr/>
              <w:drawing>
                <wp:inline distT="0" distB="0" distL="0" distR="2540">
                  <wp:extent cx="5731510" cy="259588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3, raw LDL-C</w:t>
            </w:r>
            <w:r>
              <w:rPr/>
              <w:drawing>
                <wp:inline distT="0" distB="0" distL="0" distR="2540">
                  <wp:extent cx="5731510" cy="259588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tretch>
                            <a:fillRect/>
                          </a:stretch>
                        </pic:blipFill>
                        <pic:spPr bwMode="auto">
                          <a:xfrm>
                            <a:off x="0" y="0"/>
                            <a:ext cx="5731510" cy="2595880"/>
                          </a:xfrm>
                          <a:prstGeom prst="rect">
                            <a:avLst/>
                          </a:prstGeom>
                        </pic:spPr>
                      </pic:pic>
                    </a:graphicData>
                  </a:graphic>
                </wp:inline>
              </w:drawing>
            </w:r>
          </w:p>
        </w:tc>
      </w:tr>
    </w:tbl>
    <w:p>
      <w:pPr>
        <w:pStyle w:val="Normal"/>
        <w:rPr/>
      </w:pPr>
      <w:r>
        <w:rPr/>
      </w:r>
    </w:p>
    <w:p>
      <w:pPr>
        <w:pStyle w:val="Normal"/>
        <w:rPr/>
      </w:pPr>
      <w:r>
        <w:rPr/>
      </w:r>
    </w:p>
    <w:p>
      <w:pPr>
        <w:pStyle w:val="Normal"/>
        <w:rPr/>
      </w:pPr>
      <w:r>
        <w:rPr/>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ListParagraph"/>
              <w:spacing w:lineRule="auto" w:line="240" w:before="0" w:after="0"/>
              <w:ind w:left="0" w:hanging="0"/>
              <w:contextualSpacing/>
              <w:rPr/>
            </w:pPr>
            <w:r>
              <w:rPr/>
              <w:t>Stratum 4, raw LDL-C</w:t>
            </w:r>
            <w:r>
              <w:rPr/>
              <w:drawing>
                <wp:inline distT="0" distB="0" distL="0" distR="2540">
                  <wp:extent cx="5731510" cy="259588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ListParagraph"/>
              <w:spacing w:lineRule="auto" w:line="240" w:before="0" w:after="0"/>
              <w:ind w:left="0" w:hanging="0"/>
              <w:contextualSpacing/>
              <w:rPr/>
            </w:pPr>
            <w:r>
              <w:rPr/>
              <w:t>Stratum 5, raw LDL-C</w:t>
            </w:r>
            <w:r>
              <w:rPr/>
              <w:drawing>
                <wp:inline distT="0" distB="0" distL="0" distR="2540">
                  <wp:extent cx="5731510" cy="2595880"/>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ListParagraph"/>
              <w:spacing w:lineRule="auto" w:line="240" w:before="0" w:after="0"/>
              <w:ind w:left="0" w:hanging="0"/>
              <w:contextualSpacing/>
              <w:rPr/>
            </w:pPr>
            <w:r>
              <w:rPr/>
              <w:t>Stratum 6, raw LDL-C (indirect)</w:t>
            </w:r>
            <w:r>
              <w:rPr/>
              <w:drawing>
                <wp:inline distT="0" distB="0" distL="0" distR="2540">
                  <wp:extent cx="5731510" cy="259588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5731510" cy="2595880"/>
                          </a:xfrm>
                          <a:prstGeom prst="rect">
                            <a:avLst/>
                          </a:prstGeom>
                        </pic:spPr>
                      </pic:pic>
                    </a:graphicData>
                  </a:graphic>
                </wp:inline>
              </w:drawing>
            </w:r>
          </w:p>
        </w:tc>
      </w:tr>
    </w:tbl>
    <w:p>
      <w:pPr>
        <w:pStyle w:val="ListParagraph"/>
        <w:rPr/>
      </w:pPr>
      <w:r>
        <w:rPr/>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spacing w:lineRule="auto" w:line="240" w:before="0" w:after="0"/>
              <w:rPr/>
            </w:pPr>
            <w:r>
              <w:rPr/>
              <w:t>Stratum 1, RINT LDL-C</w:t>
            </w:r>
            <w:r>
              <w:rPr/>
              <w:drawing>
                <wp:inline distT="0" distB="0" distL="0" distR="2540">
                  <wp:extent cx="5731510" cy="2595880"/>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8"/>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2, RINT LDL-C</w:t>
            </w:r>
            <w:r>
              <w:rPr/>
              <w:drawing>
                <wp:inline distT="0" distB="0" distL="0" distR="2540">
                  <wp:extent cx="5731510" cy="2595880"/>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9"/>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3, RINT LDL-C</w:t>
            </w:r>
            <w:r>
              <w:rPr/>
              <w:drawing>
                <wp:inline distT="0" distB="0" distL="0" distR="2540">
                  <wp:extent cx="5731510" cy="2595880"/>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tretch>
                            <a:fillRect/>
                          </a:stretch>
                        </pic:blipFill>
                        <pic:spPr bwMode="auto">
                          <a:xfrm>
                            <a:off x="0" y="0"/>
                            <a:ext cx="5731510" cy="2595880"/>
                          </a:xfrm>
                          <a:prstGeom prst="rect">
                            <a:avLst/>
                          </a:prstGeom>
                        </pic:spPr>
                      </pic:pic>
                    </a:graphicData>
                  </a:graphic>
                </wp:inline>
              </w:drawing>
            </w:r>
          </w:p>
        </w:tc>
      </w:tr>
    </w:tbl>
    <w:p>
      <w:pPr>
        <w:pStyle w:val="Normal"/>
        <w:rPr/>
      </w:pPr>
      <w:r>
        <w:rPr/>
      </w:r>
    </w:p>
    <w:p>
      <w:pPr>
        <w:pStyle w:val="Normal"/>
        <w:rPr/>
      </w:pPr>
      <w:r>
        <w:rPr/>
      </w:r>
      <w:r>
        <w:br w:type="page"/>
      </w:r>
    </w:p>
    <w:p>
      <w:pPr>
        <w:pStyle w:val="Normal"/>
        <w:rPr/>
      </w:pPr>
      <w:r>
        <w:rPr/>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spacing w:lineRule="auto" w:line="240" w:before="0" w:after="0"/>
              <w:rPr/>
            </w:pPr>
            <w:r>
              <w:rPr/>
              <w:t>Stratum 4, RINT LDL-C</w:t>
            </w:r>
            <w:r>
              <w:rPr/>
              <w:drawing>
                <wp:inline distT="0" distB="0" distL="0" distR="2540">
                  <wp:extent cx="5731510" cy="2595880"/>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5, RINT LDL-C</w:t>
            </w:r>
            <w:r>
              <w:rPr/>
              <w:drawing>
                <wp:inline distT="0" distB="0" distL="0" distR="2540">
                  <wp:extent cx="5731510" cy="259588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2"/>
                          <a:stretch>
                            <a:fillRect/>
                          </a:stretch>
                        </pic:blipFill>
                        <pic:spPr bwMode="auto">
                          <a:xfrm>
                            <a:off x="0" y="0"/>
                            <a:ext cx="5731510" cy="2595880"/>
                          </a:xfrm>
                          <a:prstGeom prst="rect">
                            <a:avLst/>
                          </a:prstGeom>
                        </pic:spPr>
                      </pic:pic>
                    </a:graphicData>
                  </a:graphic>
                </wp:inline>
              </w:drawing>
            </w:r>
          </w:p>
        </w:tc>
      </w:tr>
      <w:tr>
        <w:trPr/>
        <w:tc>
          <w:tcPr>
            <w:tcW w:w="9242" w:type="dxa"/>
            <w:tcBorders/>
            <w:shd w:fill="auto" w:val="clear"/>
            <w:tcMar>
              <w:left w:w="108" w:type="dxa"/>
            </w:tcMar>
          </w:tcPr>
          <w:p>
            <w:pPr>
              <w:pStyle w:val="Normal"/>
              <w:spacing w:lineRule="auto" w:line="240" w:before="0" w:after="0"/>
              <w:rPr/>
            </w:pPr>
            <w:r>
              <w:rPr/>
              <w:t>Stratum 6, RINT LDL-C</w:t>
            </w:r>
            <w:r>
              <w:rPr/>
              <w:drawing>
                <wp:inline distT="0" distB="0" distL="0" distR="2540">
                  <wp:extent cx="5731510" cy="2595880"/>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13"/>
                          <a:stretch>
                            <a:fillRect/>
                          </a:stretch>
                        </pic:blipFill>
                        <pic:spPr bwMode="auto">
                          <a:xfrm>
                            <a:off x="0" y="0"/>
                            <a:ext cx="5731510" cy="2595880"/>
                          </a:xfrm>
                          <a:prstGeom prst="rect">
                            <a:avLst/>
                          </a:prstGeom>
                        </pic:spPr>
                      </pic:pic>
                    </a:graphicData>
                  </a:graphic>
                </wp:inline>
              </w:drawing>
            </w:r>
          </w:p>
        </w:tc>
      </w:tr>
    </w:tbl>
    <w:p>
      <w:pPr>
        <w:pStyle w:val="Normal"/>
        <w:rPr/>
      </w:pPr>
      <w:r>
        <w:rPr/>
      </w:r>
    </w:p>
    <w:p>
      <w:pPr>
        <w:pStyle w:val="Normal"/>
        <w:rPr>
          <w:lang w:eastAsia="en-GB"/>
        </w:rPr>
      </w:pPr>
      <w:r>
        <w:rPr>
          <w:lang w:eastAsia="en-GB"/>
        </w:rPr>
      </w:r>
    </w:p>
    <w:tbl>
      <w:tblPr>
        <w:tblW w:w="8726" w:type="dxa"/>
        <w:jc w:val="left"/>
        <w:tblInd w:w="93" w:type="dxa"/>
        <w:tblBorders>
          <w:top w:val="single" w:sz="4" w:space="0" w:color="000001"/>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1190"/>
        <w:gridCol w:w="1929"/>
        <w:gridCol w:w="1024"/>
        <w:gridCol w:w="1583"/>
        <w:gridCol w:w="1476"/>
        <w:gridCol w:w="1524"/>
      </w:tblGrid>
      <w:tr>
        <w:trPr>
          <w:trHeight w:val="314" w:hRule="atLeast"/>
        </w:trPr>
        <w:tc>
          <w:tcPr>
            <w:tcW w:w="1190"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b/>
                <w:bCs/>
                <w:color w:val="000000"/>
                <w:lang w:eastAsia="en-GB"/>
              </w:rPr>
              <w:t>stratum</w:t>
            </w:r>
          </w:p>
        </w:tc>
        <w:tc>
          <w:tcPr>
            <w:tcW w:w="1929"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b/>
                <w:bCs/>
                <w:color w:val="000000"/>
                <w:lang w:eastAsia="en-GB"/>
              </w:rPr>
              <w:t xml:space="preserve">Ascertainment </w:t>
            </w:r>
          </w:p>
        </w:tc>
        <w:tc>
          <w:tcPr>
            <w:tcW w:w="1024"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b/>
                <w:bCs/>
                <w:color w:val="000000"/>
                <w:lang w:eastAsia="en-GB"/>
              </w:rPr>
              <w:t>size</w:t>
            </w:r>
          </w:p>
        </w:tc>
        <w:tc>
          <w:tcPr>
            <w:tcW w:w="1583"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b/>
                <w:b/>
                <w:bCs/>
              </w:rPr>
            </w:pPr>
            <w:r>
              <w:rPr>
                <w:b/>
                <w:bCs/>
              </w:rPr>
              <w:t>LDL-C type</w:t>
            </w:r>
          </w:p>
        </w:tc>
        <w:tc>
          <w:tcPr>
            <w:tcW w:w="147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b/>
                <w:bCs/>
                <w:color w:val="000000"/>
                <w:lang w:eastAsia="en-GB"/>
              </w:rPr>
              <w:t>Lambda</w:t>
            </w:r>
            <w:r>
              <w:rPr>
                <w:rFonts w:eastAsia="Times New Roman" w:cs="Times New Roman"/>
                <w:b/>
                <w:bCs/>
                <w:color w:val="000000"/>
                <w:lang w:eastAsia="en-GB"/>
              </w:rPr>
              <w:t>_raw</w:t>
            </w:r>
          </w:p>
        </w:tc>
        <w:tc>
          <w:tcPr>
            <w:tcW w:w="1524"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b/>
                <w:bCs/>
                <w:color w:val="000000"/>
                <w:lang w:eastAsia="en-GB"/>
              </w:rPr>
              <w:t>L</w:t>
            </w:r>
            <w:r>
              <w:rPr>
                <w:rFonts w:eastAsia="Times New Roman" w:cs="Times New Roman"/>
                <w:b/>
                <w:bCs/>
                <w:color w:val="000000"/>
                <w:lang w:eastAsia="en-GB"/>
              </w:rPr>
              <w:t>ambda_RINT</w:t>
            </w:r>
          </w:p>
        </w:tc>
      </w:tr>
      <w:tr>
        <w:trPr>
          <w:trHeight w:val="314" w:hRule="atLeast"/>
        </w:trPr>
        <w:tc>
          <w:tcPr>
            <w:tcW w:w="1190" w:type="dxa"/>
            <w:tcBorders/>
            <w:shd w:color="D9D9D9" w:fill="D9D9D9" w:val="clear"/>
            <w:vAlign w:val="bottom"/>
          </w:tcPr>
          <w:p>
            <w:pPr>
              <w:pStyle w:val="Normal"/>
              <w:spacing w:lineRule="auto" w:line="240" w:before="0" w:after="0"/>
              <w:rPr/>
            </w:pPr>
            <w:r>
              <w:rPr>
                <w:rFonts w:eastAsia="Times New Roman" w:cs="Times New Roman"/>
                <w:color w:val="000000"/>
                <w:lang w:eastAsia="en-GB"/>
              </w:rPr>
              <w:t>stratum_1</w:t>
            </w:r>
          </w:p>
        </w:tc>
        <w:tc>
          <w:tcPr>
            <w:tcW w:w="1929" w:type="dxa"/>
            <w:tcBorders/>
            <w:shd w:color="D9D9D9" w:fill="D9D9D9" w:val="clear"/>
            <w:vAlign w:val="bottom"/>
          </w:tcPr>
          <w:p>
            <w:pPr>
              <w:pStyle w:val="Normal"/>
              <w:spacing w:lineRule="auto" w:line="240" w:before="0" w:after="0"/>
              <w:rPr/>
            </w:pPr>
            <w:r>
              <w:rPr>
                <w:rFonts w:eastAsia="Times New Roman" w:cs="Times New Roman"/>
                <w:color w:val="000000"/>
                <w:lang w:eastAsia="en-GB"/>
              </w:rPr>
              <w:t>ICH</w:t>
            </w:r>
          </w:p>
        </w:tc>
        <w:tc>
          <w:tcPr>
            <w:tcW w:w="10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4762</w:t>
            </w:r>
          </w:p>
        </w:tc>
        <w:tc>
          <w:tcPr>
            <w:tcW w:w="1583" w:type="dxa"/>
            <w:tcBorders/>
            <w:shd w:color="D9D9D9" w:fill="D9D9D9" w:val="clear"/>
            <w:vAlign w:val="bottom"/>
          </w:tcPr>
          <w:p>
            <w:pPr>
              <w:pStyle w:val="Normal"/>
              <w:spacing w:lineRule="auto" w:line="240" w:before="0" w:after="0"/>
              <w:jc w:val="right"/>
              <w:rPr/>
            </w:pPr>
            <w:r>
              <w:rPr/>
              <w:t>direct</w:t>
            </w:r>
          </w:p>
        </w:tc>
        <w:tc>
          <w:tcPr>
            <w:tcW w:w="1476"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1.007485</w:t>
            </w:r>
          </w:p>
        </w:tc>
        <w:tc>
          <w:tcPr>
            <w:tcW w:w="15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1.019263</w:t>
            </w:r>
          </w:p>
        </w:tc>
      </w:tr>
      <w:tr>
        <w:trPr>
          <w:trHeight w:val="314" w:hRule="atLeast"/>
        </w:trPr>
        <w:tc>
          <w:tcPr>
            <w:tcW w:w="1190" w:type="dxa"/>
            <w:tcBorders/>
            <w:shd w:color="auto" w:fill="auto" w:val="clear"/>
            <w:vAlign w:val="bottom"/>
          </w:tcPr>
          <w:p>
            <w:pPr>
              <w:pStyle w:val="Normal"/>
              <w:spacing w:lineRule="auto" w:line="240" w:before="0" w:after="0"/>
              <w:rPr/>
            </w:pPr>
            <w:r>
              <w:rPr>
                <w:rFonts w:eastAsia="Times New Roman" w:cs="Times New Roman"/>
                <w:color w:val="000000"/>
                <w:lang w:eastAsia="en-GB"/>
              </w:rPr>
              <w:t>stratum_2</w:t>
            </w:r>
          </w:p>
        </w:tc>
        <w:tc>
          <w:tcPr>
            <w:tcW w:w="1929" w:type="dxa"/>
            <w:tcBorders/>
            <w:shd w:color="auto" w:fill="auto" w:val="clear"/>
            <w:vAlign w:val="bottom"/>
          </w:tcPr>
          <w:p>
            <w:pPr>
              <w:pStyle w:val="Normal"/>
              <w:spacing w:lineRule="auto" w:line="240" w:before="0" w:after="0"/>
              <w:rPr/>
            </w:pPr>
            <w:r>
              <w:rPr>
                <w:rFonts w:eastAsia="Times New Roman" w:cs="Times New Roman"/>
                <w:color w:val="000000"/>
                <w:lang w:eastAsia="en-GB"/>
              </w:rPr>
              <w:t>IS</w:t>
            </w:r>
          </w:p>
        </w:tc>
        <w:tc>
          <w:tcPr>
            <w:tcW w:w="1024"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5210</w:t>
            </w:r>
          </w:p>
        </w:tc>
        <w:tc>
          <w:tcPr>
            <w:tcW w:w="1583" w:type="dxa"/>
            <w:tcBorders/>
            <w:shd w:color="auto" w:fill="auto" w:val="clear"/>
            <w:vAlign w:val="bottom"/>
          </w:tcPr>
          <w:p>
            <w:pPr>
              <w:pStyle w:val="Normal"/>
              <w:spacing w:lineRule="auto" w:line="240" w:before="0" w:after="0"/>
              <w:jc w:val="right"/>
              <w:rPr/>
            </w:pPr>
            <w:r>
              <w:rPr/>
              <w:t>direct</w:t>
            </w:r>
          </w:p>
        </w:tc>
        <w:tc>
          <w:tcPr>
            <w:tcW w:w="1476"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1.008424</w:t>
            </w:r>
          </w:p>
        </w:tc>
        <w:tc>
          <w:tcPr>
            <w:tcW w:w="1524"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1.010303</w:t>
            </w:r>
          </w:p>
        </w:tc>
      </w:tr>
      <w:tr>
        <w:trPr>
          <w:trHeight w:val="314" w:hRule="atLeast"/>
        </w:trPr>
        <w:tc>
          <w:tcPr>
            <w:tcW w:w="1190" w:type="dxa"/>
            <w:tcBorders/>
            <w:shd w:color="D9D9D9" w:fill="D9D9D9" w:val="clear"/>
            <w:vAlign w:val="bottom"/>
          </w:tcPr>
          <w:p>
            <w:pPr>
              <w:pStyle w:val="Normal"/>
              <w:spacing w:lineRule="auto" w:line="240" w:before="0" w:after="0"/>
              <w:rPr/>
            </w:pPr>
            <w:r>
              <w:rPr>
                <w:rFonts w:eastAsia="Times New Roman" w:cs="Times New Roman"/>
                <w:color w:val="000000"/>
                <w:lang w:eastAsia="en-GB"/>
              </w:rPr>
              <w:t>stratum_3</w:t>
            </w:r>
          </w:p>
        </w:tc>
        <w:tc>
          <w:tcPr>
            <w:tcW w:w="1929" w:type="dxa"/>
            <w:tcBorders/>
            <w:shd w:color="D9D9D9" w:fill="D9D9D9" w:val="clear"/>
            <w:vAlign w:val="bottom"/>
          </w:tcPr>
          <w:p>
            <w:pPr>
              <w:pStyle w:val="Normal"/>
              <w:spacing w:lineRule="auto" w:line="240" w:before="0" w:after="0"/>
              <w:rPr/>
            </w:pPr>
            <w:r>
              <w:rPr>
                <w:rFonts w:eastAsia="Times New Roman" w:cs="Times New Roman"/>
                <w:color w:val="000000"/>
                <w:lang w:eastAsia="en-GB"/>
              </w:rPr>
              <w:t>SAH</w:t>
            </w:r>
          </w:p>
        </w:tc>
        <w:tc>
          <w:tcPr>
            <w:tcW w:w="10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167</w:t>
            </w:r>
          </w:p>
        </w:tc>
        <w:tc>
          <w:tcPr>
            <w:tcW w:w="1583" w:type="dxa"/>
            <w:tcBorders/>
            <w:shd w:color="D9D9D9" w:fill="D9D9D9" w:val="clear"/>
            <w:vAlign w:val="bottom"/>
          </w:tcPr>
          <w:p>
            <w:pPr>
              <w:pStyle w:val="Normal"/>
              <w:spacing w:lineRule="auto" w:line="240" w:before="0" w:after="0"/>
              <w:jc w:val="right"/>
              <w:rPr/>
            </w:pPr>
            <w:r>
              <w:rPr/>
              <w:t>direct</w:t>
            </w:r>
          </w:p>
        </w:tc>
        <w:tc>
          <w:tcPr>
            <w:tcW w:w="1476"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0.9920914</w:t>
            </w:r>
          </w:p>
        </w:tc>
        <w:tc>
          <w:tcPr>
            <w:tcW w:w="15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0.9990672</w:t>
            </w:r>
          </w:p>
        </w:tc>
      </w:tr>
      <w:tr>
        <w:trPr>
          <w:trHeight w:val="314" w:hRule="atLeast"/>
        </w:trPr>
        <w:tc>
          <w:tcPr>
            <w:tcW w:w="1190" w:type="dxa"/>
            <w:tcBorders/>
            <w:shd w:color="auto" w:fill="auto" w:val="clear"/>
            <w:vAlign w:val="bottom"/>
          </w:tcPr>
          <w:p>
            <w:pPr>
              <w:pStyle w:val="Normal"/>
              <w:spacing w:lineRule="auto" w:line="240" w:before="0" w:after="0"/>
              <w:rPr/>
            </w:pPr>
            <w:r>
              <w:rPr>
                <w:rFonts w:eastAsia="Times New Roman" w:cs="Times New Roman"/>
                <w:color w:val="000000"/>
                <w:lang w:eastAsia="en-GB"/>
              </w:rPr>
              <w:t>stratum_4</w:t>
            </w:r>
          </w:p>
        </w:tc>
        <w:tc>
          <w:tcPr>
            <w:tcW w:w="1929" w:type="dxa"/>
            <w:tcBorders/>
            <w:shd w:color="auto" w:fill="auto" w:val="clear"/>
            <w:vAlign w:val="bottom"/>
          </w:tcPr>
          <w:p>
            <w:pPr>
              <w:pStyle w:val="Normal"/>
              <w:spacing w:lineRule="auto" w:line="240" w:before="0" w:after="0"/>
              <w:rPr/>
            </w:pPr>
            <w:r>
              <w:rPr>
                <w:rFonts w:eastAsia="Times New Roman" w:cs="Times New Roman"/>
                <w:color w:val="000000"/>
                <w:lang w:eastAsia="en-GB"/>
              </w:rPr>
              <w:t>MI/IHD</w:t>
            </w:r>
          </w:p>
        </w:tc>
        <w:tc>
          <w:tcPr>
            <w:tcW w:w="1024"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1265</w:t>
            </w:r>
          </w:p>
        </w:tc>
        <w:tc>
          <w:tcPr>
            <w:tcW w:w="1583" w:type="dxa"/>
            <w:tcBorders/>
            <w:shd w:color="auto" w:fill="auto" w:val="clear"/>
            <w:vAlign w:val="bottom"/>
          </w:tcPr>
          <w:p>
            <w:pPr>
              <w:pStyle w:val="Normal"/>
              <w:spacing w:lineRule="auto" w:line="240" w:before="0" w:after="0"/>
              <w:jc w:val="right"/>
              <w:rPr/>
            </w:pPr>
            <w:r>
              <w:rPr/>
              <w:t>direct</w:t>
            </w:r>
          </w:p>
        </w:tc>
        <w:tc>
          <w:tcPr>
            <w:tcW w:w="1476"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0.9907005</w:t>
            </w:r>
          </w:p>
        </w:tc>
        <w:tc>
          <w:tcPr>
            <w:tcW w:w="1524" w:type="dxa"/>
            <w:tcBorders/>
            <w:shd w:color="auto" w:fill="auto" w:val="clear"/>
            <w:vAlign w:val="bottom"/>
          </w:tcPr>
          <w:p>
            <w:pPr>
              <w:pStyle w:val="Normal"/>
              <w:spacing w:lineRule="auto" w:line="240" w:before="0" w:after="0"/>
              <w:jc w:val="right"/>
              <w:rPr/>
            </w:pPr>
            <w:r>
              <w:rPr>
                <w:rFonts w:eastAsia="Times New Roman" w:cs="Times New Roman"/>
                <w:color w:val="000000"/>
                <w:lang w:eastAsia="en-GB"/>
              </w:rPr>
              <w:t>0.998135</w:t>
            </w:r>
          </w:p>
        </w:tc>
      </w:tr>
      <w:tr>
        <w:trPr>
          <w:trHeight w:val="314" w:hRule="atLeast"/>
        </w:trPr>
        <w:tc>
          <w:tcPr>
            <w:tcW w:w="1190" w:type="dxa"/>
            <w:tcBorders/>
            <w:shd w:color="D9D9D9" w:fill="D9D9D9" w:val="clear"/>
            <w:vAlign w:val="bottom"/>
          </w:tcPr>
          <w:p>
            <w:pPr>
              <w:pStyle w:val="Normal"/>
              <w:spacing w:lineRule="auto" w:line="240" w:before="0" w:after="0"/>
              <w:rPr/>
            </w:pPr>
            <w:r>
              <w:rPr>
                <w:rFonts w:eastAsia="Times New Roman" w:cs="Times New Roman"/>
                <w:color w:val="000000"/>
                <w:lang w:eastAsia="en-GB"/>
              </w:rPr>
              <w:t>stratum_5</w:t>
            </w:r>
          </w:p>
        </w:tc>
        <w:tc>
          <w:tcPr>
            <w:tcW w:w="1929" w:type="dxa"/>
            <w:tcBorders/>
            <w:shd w:color="D9D9D9" w:fill="D9D9D9" w:val="clear"/>
            <w:vAlign w:val="bottom"/>
          </w:tcPr>
          <w:p>
            <w:pPr>
              <w:pStyle w:val="Normal"/>
              <w:spacing w:lineRule="auto" w:line="240" w:before="0" w:after="0"/>
              <w:rPr/>
            </w:pPr>
            <w:r>
              <w:rPr>
                <w:rFonts w:eastAsia="Times New Roman" w:cs="Times New Roman"/>
                <w:color w:val="000000"/>
                <w:lang w:eastAsia="en-GB"/>
              </w:rPr>
              <w:t>Control</w:t>
            </w:r>
          </w:p>
        </w:tc>
        <w:tc>
          <w:tcPr>
            <w:tcW w:w="10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6687</w:t>
            </w:r>
          </w:p>
        </w:tc>
        <w:tc>
          <w:tcPr>
            <w:tcW w:w="1583" w:type="dxa"/>
            <w:tcBorders/>
            <w:shd w:color="D9D9D9" w:fill="D9D9D9" w:val="clear"/>
            <w:vAlign w:val="bottom"/>
          </w:tcPr>
          <w:p>
            <w:pPr>
              <w:pStyle w:val="Normal"/>
              <w:spacing w:lineRule="auto" w:line="240" w:before="0" w:after="0"/>
              <w:jc w:val="right"/>
              <w:rPr/>
            </w:pPr>
            <w:r>
              <w:rPr/>
              <w:t>direct</w:t>
            </w:r>
          </w:p>
        </w:tc>
        <w:tc>
          <w:tcPr>
            <w:tcW w:w="1476"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1.024951</w:t>
            </w:r>
          </w:p>
        </w:tc>
        <w:tc>
          <w:tcPr>
            <w:tcW w:w="1524" w:type="dxa"/>
            <w:tcBorders/>
            <w:shd w:color="D9D9D9" w:fill="D9D9D9" w:val="clear"/>
            <w:vAlign w:val="bottom"/>
          </w:tcPr>
          <w:p>
            <w:pPr>
              <w:pStyle w:val="Normal"/>
              <w:spacing w:lineRule="auto" w:line="240" w:before="0" w:after="0"/>
              <w:jc w:val="right"/>
              <w:rPr/>
            </w:pPr>
            <w:r>
              <w:rPr>
                <w:rFonts w:eastAsia="Times New Roman" w:cs="Times New Roman"/>
                <w:color w:val="000000"/>
                <w:lang w:eastAsia="en-GB"/>
              </w:rPr>
              <w:t>1.026377</w:t>
            </w:r>
          </w:p>
        </w:tc>
      </w:tr>
      <w:tr>
        <w:trPr>
          <w:trHeight w:val="314" w:hRule="atLeast"/>
        </w:trPr>
        <w:tc>
          <w:tcPr>
            <w:tcW w:w="1190" w:type="dxa"/>
            <w:tcBorders>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color w:val="000000"/>
                <w:lang w:eastAsia="en-GB"/>
              </w:rPr>
              <w:t>stratum_6</w:t>
            </w:r>
          </w:p>
        </w:tc>
        <w:tc>
          <w:tcPr>
            <w:tcW w:w="1929" w:type="dxa"/>
            <w:tcBorders>
              <w:bottom w:val="single" w:sz="4" w:space="0" w:color="000001"/>
              <w:insideH w:val="single" w:sz="4" w:space="0" w:color="000001"/>
            </w:tcBorders>
            <w:shd w:color="auto" w:fill="auto" w:val="clear"/>
            <w:vAlign w:val="bottom"/>
          </w:tcPr>
          <w:p>
            <w:pPr>
              <w:pStyle w:val="Normal"/>
              <w:spacing w:lineRule="auto" w:line="240" w:before="0" w:after="0"/>
              <w:rPr/>
            </w:pPr>
            <w:r>
              <w:rPr>
                <w:rFonts w:eastAsia="Times New Roman" w:cs="Times New Roman"/>
                <w:color w:val="000000"/>
                <w:lang w:eastAsia="en-GB"/>
              </w:rPr>
              <w:t>Control/resurvey 2</w:t>
            </w:r>
          </w:p>
        </w:tc>
        <w:tc>
          <w:tcPr>
            <w:tcW w:w="1024" w:type="dxa"/>
            <w:tcBorders>
              <w:bottom w:val="single" w:sz="4" w:space="0" w:color="000001"/>
              <w:insideH w:val="single" w:sz="4" w:space="0" w:color="000001"/>
            </w:tcBorders>
            <w:shd w:color="auto" w:fill="auto" w:val="clear"/>
            <w:vAlign w:val="bottom"/>
          </w:tcPr>
          <w:p>
            <w:pPr>
              <w:pStyle w:val="Normal"/>
              <w:spacing w:lineRule="auto" w:line="240" w:before="0" w:after="0"/>
              <w:jc w:val="right"/>
              <w:rPr/>
            </w:pPr>
            <w:r>
              <w:rPr>
                <w:rFonts w:eastAsia="Times New Roman" w:cs="Times New Roman"/>
                <w:color w:val="000000"/>
                <w:lang w:eastAsia="en-GB"/>
              </w:rPr>
              <w:t>4177</w:t>
            </w:r>
          </w:p>
        </w:tc>
        <w:tc>
          <w:tcPr>
            <w:tcW w:w="1583" w:type="dxa"/>
            <w:tcBorders>
              <w:bottom w:val="single" w:sz="4" w:space="0" w:color="000001"/>
              <w:insideH w:val="single" w:sz="4" w:space="0" w:color="000001"/>
            </w:tcBorders>
            <w:shd w:color="auto" w:fill="auto" w:val="clear"/>
            <w:vAlign w:val="bottom"/>
          </w:tcPr>
          <w:p>
            <w:pPr>
              <w:pStyle w:val="Normal"/>
              <w:spacing w:lineRule="auto" w:line="240" w:before="0" w:after="0"/>
              <w:jc w:val="right"/>
              <w:rPr/>
            </w:pPr>
            <w:r>
              <w:rPr/>
              <w:t>indirect</w:t>
            </w:r>
          </w:p>
        </w:tc>
        <w:tc>
          <w:tcPr>
            <w:tcW w:w="1476" w:type="dxa"/>
            <w:tcBorders>
              <w:bottom w:val="single" w:sz="4" w:space="0" w:color="000001"/>
              <w:insideH w:val="single" w:sz="4" w:space="0" w:color="000001"/>
            </w:tcBorders>
            <w:shd w:color="auto" w:fill="auto" w:val="clear"/>
            <w:vAlign w:val="bottom"/>
          </w:tcPr>
          <w:p>
            <w:pPr>
              <w:pStyle w:val="Normal"/>
              <w:spacing w:lineRule="auto" w:line="240" w:before="0" w:after="0"/>
              <w:jc w:val="right"/>
              <w:rPr/>
            </w:pPr>
            <w:r>
              <w:rPr>
                <w:rFonts w:eastAsia="Times New Roman" w:cs="Times New Roman"/>
                <w:color w:val="000000"/>
                <w:lang w:eastAsia="en-GB"/>
              </w:rPr>
              <w:t>1.019736</w:t>
            </w:r>
          </w:p>
        </w:tc>
        <w:tc>
          <w:tcPr>
            <w:tcW w:w="1524" w:type="dxa"/>
            <w:tcBorders>
              <w:bottom w:val="single" w:sz="4" w:space="0" w:color="000001"/>
              <w:insideH w:val="single" w:sz="4" w:space="0" w:color="000001"/>
            </w:tcBorders>
            <w:shd w:color="auto" w:fill="auto" w:val="clear"/>
            <w:vAlign w:val="bottom"/>
          </w:tcPr>
          <w:p>
            <w:pPr>
              <w:pStyle w:val="Normal"/>
              <w:spacing w:lineRule="auto" w:line="240" w:before="0" w:after="0"/>
              <w:jc w:val="right"/>
              <w:rPr/>
            </w:pPr>
            <w:r>
              <w:rPr>
                <w:rFonts w:eastAsia="Times New Roman" w:cs="Times New Roman"/>
                <w:color w:val="000000"/>
                <w:lang w:eastAsia="en-GB"/>
              </w:rPr>
              <w:t>1.02971</w:t>
            </w:r>
          </w:p>
        </w:tc>
      </w:tr>
    </w:tbl>
    <w:p>
      <w:pPr>
        <w:pStyle w:val="Normal"/>
        <w:rPr>
          <w:lang w:eastAsia="en-GB"/>
        </w:rPr>
      </w:pPr>
      <w:r>
        <w:rPr>
          <w:lang w:eastAsia="en-GB"/>
        </w:rPr>
      </w:r>
    </w:p>
    <w:p>
      <w:pPr>
        <w:pStyle w:val="ListParagraph"/>
        <w:rPr/>
      </w:pPr>
      <w:r>
        <w:rPr/>
      </w:r>
    </w:p>
    <w:p>
      <w:pPr>
        <w:pStyle w:val="ListParagraph"/>
        <w:numPr>
          <w:ilvl w:val="0"/>
          <w:numId w:val="1"/>
        </w:numPr>
        <w:rPr/>
      </w:pPr>
      <w:r>
        <w:rPr/>
        <w:t>Meta analysis</w:t>
      </w:r>
    </w:p>
    <w:p>
      <w:pPr>
        <w:pStyle w:val="Normal"/>
        <w:rPr/>
      </w:pPr>
      <w:r>
        <w:rPr/>
        <w:t xml:space="preserve">We used Metal for meta-analysis. The beta and standard errors estimated in the linear regression of the first five strata were combined using the inverse-variance-weighted fixed-effects scheme. </w:t>
      </w:r>
    </w:p>
    <w:p>
      <w:pPr>
        <w:pStyle w:val="Normal"/>
        <w:rPr/>
      </w:pPr>
      <w:r>
        <w:rPr/>
        <w:t>The stratum 6 is the only set with indirect LDL-C measurements. Its</w:t>
      </w:r>
      <w:r>
        <w:rPr/>
        <w:t xml:space="preserve"> linear regression result </w:t>
      </w:r>
      <w:r>
        <w:rPr/>
        <w:t>was</w:t>
      </w:r>
      <w:r>
        <w:rPr/>
        <w:t xml:space="preserve"> included with the </w:t>
      </w:r>
      <w:r>
        <w:rPr/>
        <w:t xml:space="preserve">output of the first </w:t>
      </w:r>
      <w:r>
        <w:rPr/>
        <w:t xml:space="preserve">meta-analysis </w:t>
      </w:r>
      <w:r>
        <w:rPr/>
        <w:t xml:space="preserve">in the second round. </w:t>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731510" cy="573151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731510" cy="5731510"/>
                    </a:xfrm>
                    <a:prstGeom prst="rect">
                      <a:avLst/>
                    </a:prstGeom>
                  </pic:spPr>
                </pic:pic>
              </a:graphicData>
            </a:graphic>
          </wp:anchor>
        </w:drawing>
      </w:r>
    </w:p>
    <w:p>
      <w:pPr>
        <w:pStyle w:val="Normal"/>
        <w:rPr/>
      </w:pPr>
      <w:bookmarkStart w:id="0" w:name="_GoBack"/>
      <w:bookmarkEnd w:id="0"/>
      <w:r>
        <w:rPr/>
        <w:t xml:space="preserve">…… </w:t>
      </w:r>
    </w:p>
    <w:p>
      <w:pPr>
        <w:pStyle w:val="Normal"/>
        <w:rPr>
          <w:sz w:val="16"/>
          <w:szCs w:val="16"/>
        </w:rPr>
      </w:pPr>
      <w:r>
        <w:rPr/>
        <w:t>The meta-analysis results:</w:t>
      </w:r>
    </w:p>
    <w:tbl>
      <w:tblPr>
        <w:tblW w:w="8751" w:type="dxa"/>
        <w:jc w:val="left"/>
        <w:tblInd w:w="93" w:type="dxa"/>
        <w:tblBorders>
          <w:top w:val="single" w:sz="4" w:space="0" w:color="000001"/>
          <w:left w:val="single" w:sz="4" w:space="0" w:color="000001"/>
        </w:tblBorders>
        <w:tblCellMar>
          <w:top w:w="0" w:type="dxa"/>
          <w:left w:w="103" w:type="dxa"/>
          <w:bottom w:w="0" w:type="dxa"/>
          <w:right w:w="108" w:type="dxa"/>
        </w:tblCellMar>
        <w:tblLook w:val="04a0" w:noVBand="1" w:noHBand="0" w:lastColumn="0" w:firstColumn="1" w:lastRow="0" w:firstRow="1"/>
      </w:tblPr>
      <w:tblGrid>
        <w:gridCol w:w="1195"/>
        <w:gridCol w:w="563"/>
        <w:gridCol w:w="928"/>
        <w:gridCol w:w="866"/>
        <w:gridCol w:w="421"/>
        <w:gridCol w:w="421"/>
        <w:gridCol w:w="919"/>
        <w:gridCol w:w="866"/>
        <w:gridCol w:w="707"/>
        <w:gridCol w:w="891"/>
        <w:gridCol w:w="972"/>
      </w:tblGrid>
      <w:tr>
        <w:trPr>
          <w:trHeight w:val="255" w:hRule="atLeast"/>
        </w:trPr>
        <w:tc>
          <w:tcPr>
            <w:tcW w:w="1195" w:type="dxa"/>
            <w:tcBorders>
              <w:top w:val="single" w:sz="4" w:space="0" w:color="000001"/>
              <w:left w:val="single" w:sz="4" w:space="0" w:color="000001"/>
            </w:tcBorders>
            <w:shd w:color="000000" w:fill="000000" w:val="clear"/>
            <w:tcMar>
              <w:left w:w="103" w:type="dxa"/>
            </w:tcM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SNP</w:t>
            </w:r>
          </w:p>
        </w:tc>
        <w:tc>
          <w:tcPr>
            <w:tcW w:w="563"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CHR</w:t>
            </w:r>
          </w:p>
        </w:tc>
        <w:tc>
          <w:tcPr>
            <w:tcW w:w="928"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BP</w:t>
            </w:r>
          </w:p>
        </w:tc>
        <w:tc>
          <w:tcPr>
            <w:tcW w:w="866"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MAF</w:t>
            </w:r>
          </w:p>
        </w:tc>
        <w:tc>
          <w:tcPr>
            <w:tcW w:w="421"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A1</w:t>
            </w:r>
          </w:p>
        </w:tc>
        <w:tc>
          <w:tcPr>
            <w:tcW w:w="421"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A2</w:t>
            </w:r>
          </w:p>
        </w:tc>
        <w:tc>
          <w:tcPr>
            <w:tcW w:w="919"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Beta</w:t>
            </w:r>
          </w:p>
        </w:tc>
        <w:tc>
          <w:tcPr>
            <w:tcW w:w="866"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SE_Beta</w:t>
            </w:r>
          </w:p>
        </w:tc>
        <w:tc>
          <w:tcPr>
            <w:tcW w:w="707"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Q</w:t>
            </w:r>
          </w:p>
        </w:tc>
        <w:tc>
          <w:tcPr>
            <w:tcW w:w="891" w:type="dxa"/>
            <w:tcBorders>
              <w:top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direction</w:t>
            </w:r>
          </w:p>
        </w:tc>
        <w:tc>
          <w:tcPr>
            <w:tcW w:w="972" w:type="dxa"/>
            <w:tcBorders>
              <w:top w:val="single" w:sz="4" w:space="0" w:color="000001"/>
              <w:right w:val="single" w:sz="4" w:space="0" w:color="000001"/>
              <w:insideV w:val="single" w:sz="4" w:space="0" w:color="000001"/>
            </w:tcBorders>
            <w:shd w:color="000000" w:fill="000000" w:val="clear"/>
            <w:vAlign w:val="bottom"/>
          </w:tcPr>
          <w:p>
            <w:pPr>
              <w:pStyle w:val="Normal"/>
              <w:spacing w:lineRule="auto" w:line="240" w:before="0" w:after="0"/>
              <w:rPr>
                <w:rFonts w:ascii="Arial" w:hAnsi="Arial" w:eastAsia="Times New Roman" w:cs="Arial"/>
                <w:b/>
                <w:b/>
                <w:bCs/>
                <w:color w:val="FFFFFF"/>
                <w:sz w:val="16"/>
                <w:szCs w:val="16"/>
                <w:lang w:eastAsia="en-GB"/>
              </w:rPr>
            </w:pPr>
            <w:r>
              <w:rPr>
                <w:rFonts w:eastAsia="Times New Roman" w:cs="Arial" w:ascii="Arial" w:hAnsi="Arial"/>
                <w:b/>
                <w:bCs/>
                <w:color w:val="FFFFFF"/>
                <w:sz w:val="16"/>
                <w:szCs w:val="16"/>
                <w:lang w:eastAsia="en-GB"/>
              </w:rPr>
              <w:t>P</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AX-83389438</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55509585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1.36E-02</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-3.86E-01</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0.0302</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0.938</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1.45E-37</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AX-11576926</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55630151</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0.1165</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0.0535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0.011</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0.6708</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1.06E-06</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AX-39912161</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55513061</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1.95E-01</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-4.01E-02</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0.0088</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0.7789</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4.82E-06</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AX-31642001</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55517883</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0.2873</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0.0077</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0.2967</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5.61E-06</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AX-31642169</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55521242</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0.2477</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-0.036</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0.0081</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0.8867</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8.52E-06</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AX-31641677</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55509939</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0.06613</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0.0539</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0.0141</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0.8634</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0.0001352</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AX-11541856</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55529187</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0.06007</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-0.0525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0.0145</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0.4883</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0.0002852</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AX-39912159</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55512995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0.07861</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-0.0465</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0.013</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0.8858</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0.0003583</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AX-11629248</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55719166</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0.2107</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0.0293</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0.0086</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0.7209</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0.0006577</w:t>
            </w:r>
          </w:p>
        </w:tc>
      </w:tr>
      <w:tr>
        <w:trPr>
          <w:trHeight w:val="255" w:hRule="atLeast"/>
        </w:trPr>
        <w:tc>
          <w:tcPr>
            <w:tcW w:w="1195" w:type="dxa"/>
            <w:tcBorders>
              <w:top w:val="single" w:sz="4" w:space="0" w:color="000001"/>
              <w:left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AX-31641243</w:t>
            </w:r>
          </w:p>
        </w:tc>
        <w:tc>
          <w:tcPr>
            <w:tcW w:w="563"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55498982</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0.1261</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w:t>
            </w:r>
          </w:p>
        </w:tc>
        <w:tc>
          <w:tcPr>
            <w:tcW w:w="421" w:type="dxa"/>
            <w:tcBorders>
              <w:top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G</w:t>
            </w:r>
          </w:p>
        </w:tc>
        <w:tc>
          <w:tcPr>
            <w:tcW w:w="919"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-0.0354</w:t>
            </w:r>
          </w:p>
        </w:tc>
        <w:tc>
          <w:tcPr>
            <w:tcW w:w="866"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0.0106</w:t>
            </w:r>
          </w:p>
        </w:tc>
        <w:tc>
          <w:tcPr>
            <w:tcW w:w="707" w:type="dxa"/>
            <w:tcBorders>
              <w:top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0.1539</w:t>
            </w:r>
          </w:p>
        </w:tc>
        <w:tc>
          <w:tcPr>
            <w:tcW w:w="891" w:type="dxa"/>
            <w:tcBorders>
              <w:top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right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0.000828</w:t>
            </w:r>
          </w:p>
        </w:tc>
      </w:tr>
      <w:tr>
        <w:trPr>
          <w:trHeight w:val="255" w:hRule="atLeast"/>
        </w:trPr>
        <w:tc>
          <w:tcPr>
            <w:tcW w:w="119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AX-51209582</w:t>
            </w:r>
          </w:p>
        </w:tc>
        <w:tc>
          <w:tcPr>
            <w:tcW w:w="563"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1</w:t>
            </w:r>
          </w:p>
        </w:tc>
        <w:tc>
          <w:tcPr>
            <w:tcW w:w="928"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55498949</w:t>
            </w:r>
          </w:p>
        </w:tc>
        <w:tc>
          <w:tcPr>
            <w:tcW w:w="86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0.3514</w:t>
            </w:r>
          </w:p>
        </w:tc>
        <w:tc>
          <w:tcPr>
            <w:tcW w:w="421"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T</w:t>
            </w:r>
          </w:p>
        </w:tc>
        <w:tc>
          <w:tcPr>
            <w:tcW w:w="421"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C</w:t>
            </w:r>
          </w:p>
        </w:tc>
        <w:tc>
          <w:tcPr>
            <w:tcW w:w="919"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0.0237</w:t>
            </w:r>
          </w:p>
        </w:tc>
        <w:tc>
          <w:tcPr>
            <w:tcW w:w="866"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0.0073</w:t>
            </w:r>
          </w:p>
        </w:tc>
        <w:tc>
          <w:tcPr>
            <w:tcW w:w="707"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0.8529</w:t>
            </w:r>
          </w:p>
        </w:tc>
        <w:tc>
          <w:tcPr>
            <w:tcW w:w="891" w:type="dxa"/>
            <w:tcBorders>
              <w:top w:val="single" w:sz="4" w:space="0" w:color="000001"/>
              <w:bottom w:val="single" w:sz="4" w:space="0" w:color="000001"/>
              <w:insideH w:val="single" w:sz="4" w:space="0" w:color="000001"/>
            </w:tcBorders>
            <w:shd w:color="auto" w:fill="auto" w:val="clear"/>
            <w:vAlign w:val="bottom"/>
          </w:tcPr>
          <w:p>
            <w:pPr>
              <w:pStyle w:val="Normal"/>
              <w:spacing w:lineRule="auto" w:line="240" w:before="0" w:after="0"/>
              <w:rPr>
                <w:rFonts w:ascii="BatangChe" w:hAnsi="BatangChe" w:eastAsia="BatangChe" w:cs="Arial"/>
                <w:color w:val="000000"/>
                <w:sz w:val="16"/>
                <w:szCs w:val="16"/>
                <w:lang w:eastAsia="en-GB"/>
              </w:rPr>
            </w:pPr>
            <w:r>
              <w:rPr>
                <w:rFonts w:eastAsia="BatangChe" w:cs="Arial" w:ascii="BatangChe" w:hAnsi="BatangChe"/>
                <w:color w:val="000000"/>
                <w:sz w:val="16"/>
                <w:szCs w:val="16"/>
                <w:lang w:eastAsia="en-GB"/>
              </w:rPr>
              <w:t>+++++</w:t>
            </w:r>
          </w:p>
        </w:tc>
        <w:tc>
          <w:tcPr>
            <w:tcW w:w="97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vAlign w:val="bottom"/>
          </w:tcPr>
          <w:p>
            <w:pPr>
              <w:pStyle w:val="Normal"/>
              <w:spacing w:lineRule="auto" w:line="240" w:before="0" w:after="0"/>
              <w:jc w:val="right"/>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t>0.0012</w:t>
            </w:r>
          </w:p>
        </w:tc>
      </w:tr>
    </w:tbl>
    <w:p>
      <w:pPr>
        <w:pStyle w:val="Normal"/>
        <w:rPr/>
      </w:pPr>
      <w:r>
        <w:rPr/>
      </w:r>
    </w:p>
    <w:p>
      <w:pPr>
        <w:pStyle w:val="ListParagraph"/>
        <w:numPr>
          <w:ilvl w:val="0"/>
          <w:numId w:val="0"/>
        </w:numPr>
        <w:rPr/>
      </w:pPr>
      <w:r>
        <w:rPr/>
      </w:r>
    </w:p>
    <w:p>
      <w:pPr>
        <w:pStyle w:val="ListParagraph"/>
        <w:numPr>
          <w:ilvl w:val="0"/>
          <w:numId w:val="1"/>
        </w:numPr>
        <w:rPr/>
      </w:pPr>
      <w:r>
        <w:rPr/>
        <w:t>Conditional analysis</w:t>
      </w:r>
    </w:p>
    <w:p>
      <w:pPr>
        <w:pStyle w:val="Normal"/>
        <w:rPr/>
      </w:pPr>
      <w:r>
        <w:rPr/>
        <w:t>To find the independently-associated SNPs, we iteratively performed the linear regression and the meta-analysis. After each iteration, the SNP with the lowest P value found in the previous meta-analysis was to be added to the list of SNP hits. The linear regression would then be performed conditioned on the genotypes of these SNPs. We stopped when no additional SNP hits with P value less than 10</w:t>
      </w:r>
      <w:r>
        <w:rPr>
          <w:vertAlign w:val="superscript"/>
        </w:rPr>
        <w:t>-4</w:t>
      </w:r>
      <w:r>
        <w:rPr/>
        <w:t xml:space="preserve"> can be found or conditioned upon. </w:t>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The original meta-analysis of direct LDL-C. The vertical lines are 10</w:t>
            </w:r>
            <w:r>
              <w:rPr>
                <w:vertAlign w:val="superscript"/>
              </w:rPr>
              <w:t>-4</w:t>
            </w:r>
            <w:r>
              <w:rPr/>
              <w:t xml:space="preserve"> and 0.05 accordingly.</w:t>
            </w:r>
          </w:p>
          <w:p>
            <w:pPr>
              <w:pStyle w:val="Normal"/>
              <w:spacing w:lineRule="auto" w:line="240" w:before="0" w:after="0"/>
              <w:rPr/>
            </w:pPr>
            <w:r>
              <w:rPr/>
              <w:drawing>
                <wp:inline distT="0" distB="1905" distL="0" distR="2540">
                  <wp:extent cx="5731510" cy="3674745"/>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15"/>
                          <a:stretch>
                            <a:fillRect/>
                          </a:stretch>
                        </pic:blipFill>
                        <pic:spPr bwMode="auto">
                          <a:xfrm>
                            <a:off x="0" y="0"/>
                            <a:ext cx="5731510" cy="3674745"/>
                          </a:xfrm>
                          <a:prstGeom prst="rect">
                            <a:avLst/>
                          </a:prstGeom>
                        </pic:spPr>
                      </pic:pic>
                    </a:graphicData>
                  </a:graphic>
                </wp:inline>
              </w:drawing>
            </w:r>
          </w:p>
          <w:p>
            <w:pPr>
              <w:pStyle w:val="Normal"/>
              <w:spacing w:lineRule="auto" w:line="240" w:before="0" w:after="0"/>
              <w:rPr/>
            </w:pPr>
            <w:r>
              <w:rPr/>
            </w:r>
          </w:p>
        </w:tc>
      </w:tr>
      <w:tr>
        <w:trPr/>
        <w:tc>
          <w:tcPr>
            <w:tcW w:w="9242" w:type="dxa"/>
            <w:tcBorders/>
            <w:shd w:fill="auto" w:val="clear"/>
            <w:tcMar>
              <w:left w:w="108" w:type="dxa"/>
            </w:tcMar>
          </w:tcPr>
          <w:tbl>
            <w:tblPr>
              <w:tblW w:w="879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2"/>
              <w:gridCol w:w="919"/>
              <w:gridCol w:w="861"/>
              <w:gridCol w:w="386"/>
              <w:gridCol w:w="386"/>
              <w:gridCol w:w="999"/>
              <w:gridCol w:w="841"/>
              <w:gridCol w:w="744"/>
              <w:gridCol w:w="842"/>
              <w:gridCol w:w="1035"/>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19"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6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9"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4"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AX-83389438</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55509585</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1.36E-02</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-3.86E-01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0.0302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0.938</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1.45E-37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0.0535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0.6708</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1.06E-06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1.95E-01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-4.01E-02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0.0088</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0.7789</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4.82E-06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AX-31642001</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55517883</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0.2873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0.2967</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5.61E-06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0.8867</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8.52E-06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AX-31641677</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55509939</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0.06613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0.0539</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0.0141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0.8634</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0.0001352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-0.0525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0.0145</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0.4883</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0.0002852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AX-39912159</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55512995</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0.07861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-0.0465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0.8858</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0.0003583</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AX-11629248</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55719166</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0.2107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0.0293</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0.7209</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0.0006577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AX-31641243</w:t>
                  </w:r>
                </w:p>
              </w:tc>
              <w:tc>
                <w:tcPr>
                  <w:tcW w:w="55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55498982</w:t>
                  </w:r>
                </w:p>
              </w:tc>
              <w:tc>
                <w:tcPr>
                  <w:tcW w:w="86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0.1261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-0.0354</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0.1539</w:t>
                  </w:r>
                </w:p>
              </w:tc>
              <w:tc>
                <w:tcPr>
                  <w:tcW w:w="842" w:type="dxa"/>
                  <w:tcBorders/>
                  <w:shd w:color="auto" w:fill="auto" w:val="clear"/>
                  <w:vAlign w:val="bottom"/>
                </w:tcPr>
                <w:p>
                  <w:pPr>
                    <w:pStyle w:val="Normal"/>
                    <w:spacing w:lineRule="auto" w:line="240" w:before="0" w:after="0"/>
                    <w:rPr>
                      <w:rFonts w:ascii="BatangChe" w:hAnsi="BatangChe" w:eastAsia="BatangChe"/>
                      <w:sz w:val="16"/>
                      <w:szCs w:val="16"/>
                    </w:rPr>
                  </w:pPr>
                  <w:r>
                    <w:rPr>
                      <w:rFonts w:eastAsia="BatangChe" w:ascii="BatangChe" w:hAnsi="BatangChe"/>
                      <w:sz w:val="16"/>
                      <w:szCs w:val="16"/>
                    </w:rPr>
                    <w:t>-----</w:t>
                  </w:r>
                </w:p>
              </w:tc>
              <w:tc>
                <w:tcPr>
                  <w:tcW w:w="1035"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0.000828</w:t>
                  </w:r>
                </w:p>
              </w:tc>
            </w:tr>
          </w:tbl>
          <w:p>
            <w:pPr>
              <w:pStyle w:val="Normal"/>
              <w:spacing w:before="0" w:after="0"/>
              <w:rPr/>
            </w:pPr>
            <w:r>
              <w:rPr/>
            </w:r>
          </w:p>
        </w:tc>
      </w:tr>
    </w:tbl>
    <w:p>
      <w:pPr>
        <w:pStyle w:val="Normal"/>
        <w:rPr/>
      </w:pPr>
      <w:r>
        <w:rPr/>
        <w:t xml:space="preserve">After the initial round, the linear regression would be performed condition on the top SNP AX-83389438. </w:t>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Direct LDL-C, conditioned on AX-83389438</w:t>
            </w:r>
          </w:p>
          <w:p>
            <w:pPr>
              <w:pStyle w:val="Normal"/>
              <w:spacing w:lineRule="auto" w:line="240" w:before="0" w:after="0"/>
              <w:rPr/>
            </w:pPr>
            <w:r>
              <w:rPr/>
              <w:drawing>
                <wp:inline distT="0" distB="1905" distL="0" distR="2540">
                  <wp:extent cx="5731510" cy="3674745"/>
                  <wp:effectExtent l="0" t="0" r="0" b="0"/>
                  <wp:docPr id="1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
                          <pic:cNvPicPr>
                            <a:picLocks noChangeAspect="1" noChangeArrowheads="1"/>
                          </pic:cNvPicPr>
                        </pic:nvPicPr>
                        <pic:blipFill>
                          <a:blip r:embed="rId16"/>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75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0"/>
              <w:gridCol w:w="920"/>
              <w:gridCol w:w="822"/>
              <w:gridCol w:w="386"/>
              <w:gridCol w:w="385"/>
              <w:gridCol w:w="998"/>
              <w:gridCol w:w="841"/>
              <w:gridCol w:w="744"/>
              <w:gridCol w:w="841"/>
              <w:gridCol w:w="1038"/>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4"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AX-31642001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55517883</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0.2873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-0.0425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0.2819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3.41E-08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0.0587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0.0109</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0.7909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7.84E-08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0.1947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-0.0466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0.8085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1.01E-07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-0.0428</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0.9458</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1.19E-07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AX-51209582</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55498949</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0.3514</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0.8995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2.19E-05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AX-31641677</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55509939</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0.06613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0.0588</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0.0141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0.8474</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2.96E-05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AX-11629248</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55719166</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0.2107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0.0344</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0.8304</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5.90E-05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AX-39912159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55512995</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0.07861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-0.0519</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0.9019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6.30E-05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AX-31641243</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55498982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0.1261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-0.0407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0.0001156</w:t>
                  </w:r>
                </w:p>
              </w:tc>
            </w:tr>
          </w:tbl>
          <w:p>
            <w:pPr>
              <w:pStyle w:val="Normal"/>
              <w:spacing w:before="0" w:after="0"/>
              <w:rPr/>
            </w:pPr>
            <w:r>
              <w:rPr/>
            </w:r>
          </w:p>
        </w:tc>
      </w:tr>
    </w:tbl>
    <w:p>
      <w:pPr>
        <w:pStyle w:val="Normal"/>
        <w:rPr/>
      </w:pPr>
      <w:r>
        <w:rPr/>
        <w:t xml:space="preserve">The top SNP hit AX-31642001 was added to the list of SNPs to be conditioned upon. </w:t>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Direct LDL-C, conditioned on AX-83389438 and AX-31642001</w:t>
            </w:r>
            <w:r>
              <w:rPr/>
              <w:drawing>
                <wp:inline distT="0" distB="1905" distL="0" distR="2540">
                  <wp:extent cx="5731510" cy="3674745"/>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17"/>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83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1"/>
              <w:gridCol w:w="919"/>
              <w:gridCol w:w="823"/>
              <w:gridCol w:w="386"/>
              <w:gridCol w:w="386"/>
              <w:gridCol w:w="998"/>
              <w:gridCol w:w="842"/>
              <w:gridCol w:w="823"/>
              <w:gridCol w:w="841"/>
              <w:gridCol w:w="1036"/>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19"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3"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823"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-0.0674</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0.0148</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0.5517</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5.07E-06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0.1947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-0.0327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0.0096</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0.6193</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0.0006279</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0.0396</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0.7732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0.001094</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AX-39912661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55529828</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0.1115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-0.0363</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0.0117</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0.1707</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0.001845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AX-12930867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55486064</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0.4125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-0.0214</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0.08162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0.002652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AX-64101281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55837600</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0.01583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0.0833</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0.0282</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0.4171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0.00313</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AX-39911557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55484810</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0.4638</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-0.0197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0.06822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0.005147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AX-50958112</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55496556</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0.4706</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0.019</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0.04406</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0.007468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AX-51209582</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55498949</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0.3514</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0.0205</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0.0077</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0.8707</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0.00773</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AX-11532730</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55541174</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0.106</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0.0317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0.0119</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0.4849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0.007954</w:t>
                  </w:r>
                </w:p>
              </w:tc>
            </w:tr>
          </w:tbl>
          <w:p>
            <w:pPr>
              <w:pStyle w:val="Normal"/>
              <w:spacing w:before="0" w:after="0"/>
              <w:rPr/>
            </w:pPr>
            <w:r>
              <w:rPr/>
            </w:r>
          </w:p>
        </w:tc>
      </w:tr>
    </w:tbl>
    <w:p>
      <w:pPr>
        <w:pStyle w:val="Normal"/>
        <w:rPr/>
      </w:pPr>
      <w:r>
        <w:rPr/>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Direct LDL-C, conditioned on AX-83389438, AX-31642001 and AX-11541856</w:t>
            </w:r>
            <w:r>
              <w:rPr/>
              <w:drawing>
                <wp:inline distT="0" distB="1905" distL="0" distR="2540">
                  <wp:extent cx="5731510" cy="3674745"/>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18"/>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83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1"/>
              <w:gridCol w:w="919"/>
              <w:gridCol w:w="823"/>
              <w:gridCol w:w="386"/>
              <w:gridCol w:w="386"/>
              <w:gridCol w:w="998"/>
              <w:gridCol w:w="842"/>
              <w:gridCol w:w="823"/>
              <w:gridCol w:w="841"/>
              <w:gridCol w:w="1036"/>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19"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3"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823"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0.0126</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0.0001938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AX-12930867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55486064</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0.4125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0.09975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0.002412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0.1947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-0.0282</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0.0096</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0.5948</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0.003415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AX-51209582</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55498949</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0.3514</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0.0222</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0.0077</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0.855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0.00387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AX-39911557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55484810</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0.4638</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-0.0197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0.07759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0.005333</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AX-11447635</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55766150</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0.1156</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-0.0308</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0.0113</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0.619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0.006578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AX-50958112</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55496556</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0.4706</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0.0187</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0.0071</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0.05692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0.00862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AX-39912909</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19"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55541050</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0.04024</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0.0449</w:t>
                  </w:r>
                </w:p>
              </w:tc>
              <w:tc>
                <w:tcPr>
                  <w:tcW w:w="84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0.0174</w:t>
                  </w:r>
                </w:p>
              </w:tc>
              <w:tc>
                <w:tcPr>
                  <w:tcW w:w="82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0.7185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6"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0.009886</w:t>
                  </w:r>
                </w:p>
              </w:tc>
            </w:tr>
          </w:tbl>
          <w:p>
            <w:pPr>
              <w:pStyle w:val="Normal"/>
              <w:spacing w:before="0" w:after="0"/>
              <w:rPr/>
            </w:pPr>
            <w:r>
              <w:rPr/>
            </w:r>
          </w:p>
        </w:tc>
      </w:tr>
    </w:tbl>
    <w:p>
      <w:pPr>
        <w:pStyle w:val="Normal"/>
        <w:rPr/>
      </w:pPr>
      <w:r>
        <w:rPr/>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 xml:space="preserve">RINT direct LDL-C, original meta-analysis </w:t>
            </w:r>
            <w:r>
              <w:rPr/>
              <w:drawing>
                <wp:inline distT="0" distB="1905" distL="0" distR="2540">
                  <wp:extent cx="5731510" cy="3674745"/>
                  <wp:effectExtent l="0" t="0" r="0" b="0"/>
                  <wp:docPr id="1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
                          <pic:cNvPicPr>
                            <a:picLocks noChangeAspect="1" noChangeArrowheads="1"/>
                          </pic:cNvPicPr>
                        </pic:nvPicPr>
                        <pic:blipFill>
                          <a:blip r:embed="rId19"/>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75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0"/>
              <w:gridCol w:w="920"/>
              <w:gridCol w:w="822"/>
              <w:gridCol w:w="386"/>
              <w:gridCol w:w="385"/>
              <w:gridCol w:w="998"/>
              <w:gridCol w:w="841"/>
              <w:gridCol w:w="744"/>
              <w:gridCol w:w="841"/>
              <w:gridCol w:w="1038"/>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4"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AX-83389438</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55509585</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0.01357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-0.621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0.0455</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0.6727</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1.91E-42</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0.0811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0.0166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0.7462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9.82E-07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0.1947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-0.0638</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0.9448</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1.44E-06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AX-31642001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55517883</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0.2873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-0.0507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0.3767</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1.34E-05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-0.053</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0.9855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1.48E-05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AX-31641677</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55509939</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0.06613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0.0881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0.9513</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3.66E-05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-0.0855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0.0219</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9.14E-05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AX-39912159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55512995</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0.07861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-0.0749</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0.0197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0.9052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0.0001397</w:t>
                  </w:r>
                </w:p>
              </w:tc>
            </w:tr>
          </w:tbl>
          <w:p>
            <w:pPr>
              <w:pStyle w:val="Normal"/>
              <w:spacing w:before="0" w:after="0"/>
              <w:rPr/>
            </w:pPr>
            <w:r>
              <w:rPr/>
            </w:r>
          </w:p>
        </w:tc>
      </w:tr>
    </w:tbl>
    <w:p>
      <w:pPr>
        <w:pStyle w:val="Normal"/>
        <w:rPr/>
      </w:pPr>
      <w:r>
        <w:rPr/>
        <w:t xml:space="preserve">The same process was applied on RINT LDL-C measurements. </w:t>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RINT direct LDL-C, conditioned on AX-83389438</w:t>
            </w:r>
            <w:r>
              <w:rPr/>
              <w:drawing>
                <wp:inline distT="0" distB="1905" distL="0" distR="2540">
                  <wp:extent cx="5731510" cy="3674745"/>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20"/>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75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0"/>
              <w:gridCol w:w="920"/>
              <w:gridCol w:w="822"/>
              <w:gridCol w:w="386"/>
              <w:gridCol w:w="385"/>
              <w:gridCol w:w="998"/>
              <w:gridCol w:w="841"/>
              <w:gridCol w:w="744"/>
              <w:gridCol w:w="841"/>
              <w:gridCol w:w="1038"/>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4"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AX-39912161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55513061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0.1947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-0.0742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0.9572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1.91E-08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0.0892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0.0165</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0.8511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6.49E-08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AX-31642001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55517883</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0.2873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-0.0626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0.3141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7.25E-08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-0.0636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0.9856</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1.81E-07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AX-31641677</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55509939</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0.06613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0.0957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0.0212</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0.9184</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6.54E-06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AX-51209582</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55498949</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0.3514</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0.0492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0.9208</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8.20E-06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AX-39912159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55512995</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0.07861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-0.0835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0.0196</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0.9109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1.98E-05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AX-11629248</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55719166</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0.2107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0.0546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0.0129</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0.8881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2.43E-05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AX-31641243</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55498982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0.1261</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-0.0637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0.0159</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0.299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6.40E-05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-0.0762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0.0218</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0.4945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0.0004647</w:t>
                  </w:r>
                </w:p>
              </w:tc>
            </w:tr>
          </w:tbl>
          <w:p>
            <w:pPr>
              <w:pStyle w:val="Normal"/>
              <w:spacing w:before="0" w:after="0"/>
              <w:rPr/>
            </w:pPr>
            <w:r>
              <w:rPr/>
            </w:r>
          </w:p>
        </w:tc>
      </w:tr>
    </w:tbl>
    <w:p>
      <w:pPr>
        <w:pStyle w:val="Normal"/>
        <w:rPr/>
      </w:pPr>
      <w:r>
        <w:rPr/>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RINT direct LDL-C, conditioned on AX-83389438 and AX-39912161</w:t>
            </w:r>
            <w:r>
              <w:rPr/>
              <w:drawing>
                <wp:inline distT="0" distB="1905" distL="0" distR="2540">
                  <wp:extent cx="5731510" cy="3674745"/>
                  <wp:effectExtent l="0" t="0" r="0" b="0"/>
                  <wp:docPr id="2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
                          <pic:cNvPicPr>
                            <a:picLocks noChangeAspect="1" noChangeArrowheads="1"/>
                          </pic:cNvPicPr>
                        </pic:nvPicPr>
                        <pic:blipFill>
                          <a:blip r:embed="rId21"/>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754" w:type="dxa"/>
              <w:jc w:val="left"/>
              <w:tblInd w:w="0" w:type="dxa"/>
              <w:tblBorders/>
              <w:tblCellMar>
                <w:top w:w="0" w:type="dxa"/>
                <w:left w:w="108" w:type="dxa"/>
                <w:bottom w:w="0" w:type="dxa"/>
                <w:right w:w="108" w:type="dxa"/>
              </w:tblCellMar>
              <w:tblLook w:val="04a0" w:noVBand="1" w:noHBand="0" w:lastColumn="0" w:firstColumn="1" w:lastRow="0" w:firstRow="1"/>
            </w:tblPr>
            <w:tblGrid>
              <w:gridCol w:w="1227"/>
              <w:gridCol w:w="550"/>
              <w:gridCol w:w="920"/>
              <w:gridCol w:w="822"/>
              <w:gridCol w:w="386"/>
              <w:gridCol w:w="385"/>
              <w:gridCol w:w="998"/>
              <w:gridCol w:w="841"/>
              <w:gridCol w:w="744"/>
              <w:gridCol w:w="841"/>
              <w:gridCol w:w="1038"/>
            </w:tblGrid>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4"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103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AX-11576926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55630151</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0.1165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0.0723</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0.0169</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0.8426</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1.93E-05</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-0.0762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0.4009</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0.0004606</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AX-31642001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55517883</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0.2873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-0.0432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0.1764</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0.0006774</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AX-11629248</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55719166</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0.2107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0.0429</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0.0131</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0.866</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0.001108</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AX-31642169</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55521242</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0.2477</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-0.0432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0.0133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0.956</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0.001169</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AX-64101281</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55837600</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0.01583</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0.131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0.0423</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0.2685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0.00197</w:t>
                  </w:r>
                </w:p>
              </w:tc>
            </w:tr>
            <w:tr>
              <w:trPr>
                <w:trHeight w:val="255" w:hRule="atLeast"/>
              </w:trPr>
              <w:tc>
                <w:tcPr>
                  <w:tcW w:w="1227"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AX-12930867</w:t>
                  </w:r>
                </w:p>
              </w:tc>
              <w:tc>
                <w:tcPr>
                  <w:tcW w:w="55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55486064</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0.4125</w:t>
                  </w:r>
                </w:p>
              </w:tc>
              <w:tc>
                <w:tcPr>
                  <w:tcW w:w="38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-0.031</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0.0107</w:t>
                  </w:r>
                </w:p>
              </w:tc>
              <w:tc>
                <w:tcPr>
                  <w:tcW w:w="744"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0.1735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103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0.003827</w:t>
                  </w:r>
                </w:p>
              </w:tc>
            </w:tr>
          </w:tbl>
          <w:p>
            <w:pPr>
              <w:pStyle w:val="Normal"/>
              <w:spacing w:before="0" w:after="0"/>
              <w:rPr/>
            </w:pPr>
            <w:r>
              <w:rPr/>
            </w:r>
          </w:p>
        </w:tc>
      </w:tr>
    </w:tbl>
    <w:p>
      <w:pPr>
        <w:pStyle w:val="Normal"/>
        <w:rPr/>
      </w:pPr>
      <w:r>
        <w:rPr/>
      </w:r>
    </w:p>
    <w:p>
      <w:pPr>
        <w:pStyle w:val="Normal"/>
        <w:rPr/>
      </w:pPr>
      <w:r>
        <w:rPr/>
      </w:r>
      <w:r>
        <w:br w:type="page"/>
      </w:r>
    </w:p>
    <w:tbl>
      <w:tblPr>
        <w:tblStyle w:val="TableGrid"/>
        <w:tblW w:w="9242" w:type="dxa"/>
        <w:jc w:val="left"/>
        <w:tblInd w:w="0" w:type="dxa"/>
        <w:tblCellMar>
          <w:top w:w="0" w:type="dxa"/>
          <w:left w:w="108" w:type="dxa"/>
          <w:bottom w:w="0" w:type="dxa"/>
          <w:right w:w="108" w:type="dxa"/>
        </w:tblCellMar>
        <w:tblLook w:val="04a0" w:noVBand="1" w:noHBand="0" w:lastColumn="0" w:firstColumn="1" w:lastRow="0" w:firstRow="1"/>
      </w:tblPr>
      <w:tblGrid>
        <w:gridCol w:w="9242"/>
      </w:tblGrid>
      <w:tr>
        <w:trPr/>
        <w:tc>
          <w:tcPr>
            <w:tcW w:w="9242" w:type="dxa"/>
            <w:tcBorders/>
            <w:shd w:fill="auto" w:val="clear"/>
            <w:tcMar>
              <w:left w:w="108" w:type="dxa"/>
            </w:tcMar>
          </w:tcPr>
          <w:p>
            <w:pPr>
              <w:pStyle w:val="Normal"/>
              <w:pageBreakBefore/>
              <w:spacing w:lineRule="auto" w:line="240" w:before="0" w:after="0"/>
              <w:rPr/>
            </w:pPr>
            <w:r>
              <w:rPr/>
              <w:t>RINT direct LDL-C, conditioned on AX-83389438, AX-39912161 and AX-11576926</w:t>
            </w:r>
            <w:r>
              <w:rPr/>
              <w:drawing>
                <wp:inline distT="0" distB="1905" distL="0" distR="2540">
                  <wp:extent cx="5731510" cy="3674745"/>
                  <wp:effectExtent l="0" t="0" r="0" b="0"/>
                  <wp:docPr id="2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
                          <pic:cNvPicPr>
                            <a:picLocks noChangeAspect="1" noChangeArrowheads="1"/>
                          </pic:cNvPicPr>
                        </pic:nvPicPr>
                        <pic:blipFill>
                          <a:blip r:embed="rId22"/>
                          <a:stretch>
                            <a:fillRect/>
                          </a:stretch>
                        </pic:blipFill>
                        <pic:spPr bwMode="auto">
                          <a:xfrm>
                            <a:off x="0" y="0"/>
                            <a:ext cx="5731510" cy="3674745"/>
                          </a:xfrm>
                          <a:prstGeom prst="rect">
                            <a:avLst/>
                          </a:prstGeom>
                        </pic:spPr>
                      </pic:pic>
                    </a:graphicData>
                  </a:graphic>
                </wp:inline>
              </w:drawing>
            </w:r>
          </w:p>
        </w:tc>
      </w:tr>
      <w:tr>
        <w:trPr/>
        <w:tc>
          <w:tcPr>
            <w:tcW w:w="9242" w:type="dxa"/>
            <w:tcBorders/>
            <w:shd w:fill="auto" w:val="clear"/>
            <w:tcMar>
              <w:left w:w="108" w:type="dxa"/>
            </w:tcMar>
          </w:tcPr>
          <w:tbl>
            <w:tblPr>
              <w:tblW w:w="8634" w:type="dxa"/>
              <w:jc w:val="left"/>
              <w:tblInd w:w="0" w:type="dxa"/>
              <w:tblBorders/>
              <w:tblCellMar>
                <w:top w:w="0" w:type="dxa"/>
                <w:left w:w="108" w:type="dxa"/>
                <w:bottom w:w="0" w:type="dxa"/>
                <w:right w:w="108" w:type="dxa"/>
              </w:tblCellMar>
              <w:tblLook w:val="04a0" w:noVBand="1" w:noHBand="0" w:lastColumn="0" w:firstColumn="1" w:lastRow="0" w:firstRow="1"/>
            </w:tblPr>
            <w:tblGrid>
              <w:gridCol w:w="1226"/>
              <w:gridCol w:w="551"/>
              <w:gridCol w:w="920"/>
              <w:gridCol w:w="822"/>
              <w:gridCol w:w="385"/>
              <w:gridCol w:w="385"/>
              <w:gridCol w:w="998"/>
              <w:gridCol w:w="841"/>
              <w:gridCol w:w="743"/>
              <w:gridCol w:w="841"/>
              <w:gridCol w:w="920"/>
            </w:tblGrid>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SNP</w:t>
                  </w:r>
                </w:p>
              </w:tc>
              <w:tc>
                <w:tcPr>
                  <w:tcW w:w="55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CHR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BP</w:t>
                  </w:r>
                </w:p>
              </w:tc>
              <w:tc>
                <w:tcPr>
                  <w:tcW w:w="822"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MAF</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a1</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a2</w:t>
                  </w:r>
                </w:p>
              </w:tc>
              <w:tc>
                <w:tcPr>
                  <w:tcW w:w="998"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meta_beta</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meta_se</w:t>
                  </w:r>
                </w:p>
              </w:tc>
              <w:tc>
                <w:tcPr>
                  <w:tcW w:w="743"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meta_q</w:t>
                  </w:r>
                </w:p>
              </w:tc>
              <w:tc>
                <w:tcPr>
                  <w:tcW w:w="841"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meta_dir</w:t>
                  </w:r>
                </w:p>
              </w:tc>
              <w:tc>
                <w:tcPr>
                  <w:tcW w:w="920"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meta_p</w:t>
                  </w:r>
                </w:p>
              </w:tc>
            </w:tr>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AX-64101281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55837600</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0.01583</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0.1295</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0.0424</w:t>
                  </w:r>
                </w:p>
              </w:tc>
              <w:tc>
                <w:tcPr>
                  <w:tcW w:w="74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0.3135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0.002235</w:t>
                  </w:r>
                </w:p>
              </w:tc>
            </w:tr>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AX-11541856</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55529187</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0.06007</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-0.0659</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0.0219</w:t>
                  </w:r>
                </w:p>
              </w:tc>
              <w:tc>
                <w:tcPr>
                  <w:tcW w:w="74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0.3565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0.002579</w:t>
                  </w:r>
                </w:p>
              </w:tc>
            </w:tr>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AX-12930867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55486064</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0.4125</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-0.0306</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0.0107</w:t>
                  </w:r>
                </w:p>
              </w:tc>
              <w:tc>
                <w:tcPr>
                  <w:tcW w:w="74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0.1651</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0.004382</w:t>
                  </w:r>
                </w:p>
              </w:tc>
            </w:tr>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AX-31639191</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55447704</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0.06497</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G</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-0.0552</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0.0214</w:t>
                  </w:r>
                </w:p>
              </w:tc>
              <w:tc>
                <w:tcPr>
                  <w:tcW w:w="74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0.315</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0.009942</w:t>
                  </w:r>
                </w:p>
              </w:tc>
            </w:tr>
            <w:tr>
              <w:trPr>
                <w:trHeight w:val="255" w:hRule="atLeast"/>
              </w:trPr>
              <w:tc>
                <w:tcPr>
                  <w:tcW w:w="1226"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AX-39911557</w:t>
                  </w:r>
                </w:p>
              </w:tc>
              <w:tc>
                <w:tcPr>
                  <w:tcW w:w="55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1</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55484810</w:t>
                  </w:r>
                </w:p>
              </w:tc>
              <w:tc>
                <w:tcPr>
                  <w:tcW w:w="822"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0.4638</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T</w:t>
                  </w:r>
                </w:p>
              </w:tc>
              <w:tc>
                <w:tcPr>
                  <w:tcW w:w="385" w:type="dxa"/>
                  <w:tcBorders/>
                  <w:shd w:color="auto" w:fill="auto" w:val="clear"/>
                  <w:vAlign w:val="bottom"/>
                </w:tcPr>
                <w:p>
                  <w:pPr>
                    <w:pStyle w:val="Normal"/>
                    <w:spacing w:lineRule="auto" w:line="240" w:before="0" w:after="0"/>
                    <w:rPr>
                      <w:rFonts w:ascii="Arial" w:hAnsi="Arial" w:eastAsia="Times New Roman" w:cs="Arial"/>
                      <w:sz w:val="16"/>
                      <w:szCs w:val="16"/>
                      <w:lang w:eastAsia="en-GB"/>
                    </w:rPr>
                  </w:pPr>
                  <w:r>
                    <w:rPr>
                      <w:rFonts w:eastAsia="Times New Roman" w:cs="Arial" w:ascii="Arial" w:hAnsi="Arial"/>
                      <w:sz w:val="16"/>
                      <w:szCs w:val="16"/>
                      <w:lang w:eastAsia="en-GB"/>
                    </w:rPr>
                    <w:t>C</w:t>
                  </w:r>
                </w:p>
              </w:tc>
              <w:tc>
                <w:tcPr>
                  <w:tcW w:w="998"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-0.0267</w:t>
                  </w:r>
                </w:p>
              </w:tc>
              <w:tc>
                <w:tcPr>
                  <w:tcW w:w="841"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0.0107</w:t>
                  </w:r>
                </w:p>
              </w:tc>
              <w:tc>
                <w:tcPr>
                  <w:tcW w:w="743"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0.1962</w:t>
                  </w:r>
                </w:p>
              </w:tc>
              <w:tc>
                <w:tcPr>
                  <w:tcW w:w="841" w:type="dxa"/>
                  <w:tcBorders/>
                  <w:shd w:color="auto" w:fill="auto" w:val="clear"/>
                  <w:vAlign w:val="bottom"/>
                </w:tcPr>
                <w:p>
                  <w:pPr>
                    <w:pStyle w:val="Normal"/>
                    <w:spacing w:lineRule="auto" w:line="240" w:before="0" w:after="0"/>
                    <w:rPr>
                      <w:rFonts w:ascii="BatangChe" w:hAnsi="BatangChe" w:eastAsia="BatangChe" w:cs="Arial"/>
                      <w:sz w:val="16"/>
                      <w:szCs w:val="16"/>
                      <w:lang w:eastAsia="en-GB"/>
                    </w:rPr>
                  </w:pPr>
                  <w:r>
                    <w:rPr>
                      <w:rFonts w:eastAsia="BatangChe" w:cs="Arial" w:ascii="BatangChe" w:hAnsi="BatangChe"/>
                      <w:sz w:val="16"/>
                      <w:szCs w:val="16"/>
                      <w:lang w:eastAsia="en-GB"/>
                    </w:rPr>
                    <w:t>+-++-</w:t>
                  </w:r>
                </w:p>
              </w:tc>
              <w:tc>
                <w:tcPr>
                  <w:tcW w:w="920" w:type="dxa"/>
                  <w:tcBorders/>
                  <w:shd w:color="auto" w:fill="auto" w:val="clear"/>
                  <w:vAlign w:val="bottom"/>
                </w:tcPr>
                <w:p>
                  <w:pPr>
                    <w:pStyle w:val="Normal"/>
                    <w:spacing w:lineRule="auto" w:line="240" w:before="0" w:after="0"/>
                    <w:jc w:val="right"/>
                    <w:rPr>
                      <w:rFonts w:ascii="Arial" w:hAnsi="Arial" w:eastAsia="Times New Roman" w:cs="Arial"/>
                      <w:sz w:val="16"/>
                      <w:szCs w:val="16"/>
                      <w:lang w:eastAsia="en-GB"/>
                    </w:rPr>
                  </w:pPr>
                  <w:r>
                    <w:rPr>
                      <w:rFonts w:eastAsia="Times New Roman" w:cs="Arial" w:ascii="Arial" w:hAnsi="Arial"/>
                      <w:sz w:val="16"/>
                      <w:szCs w:val="16"/>
                      <w:lang w:eastAsia="en-GB"/>
                    </w:rPr>
                    <w:t>0.01233</w:t>
                  </w:r>
                </w:p>
              </w:tc>
            </w:tr>
          </w:tbl>
          <w:p>
            <w:pPr>
              <w:pStyle w:val="Normal"/>
              <w:spacing w:before="0" w:after="0"/>
              <w:rPr/>
            </w:pPr>
            <w:r>
              <w:rPr/>
            </w:r>
          </w:p>
        </w:tc>
      </w:tr>
    </w:tbl>
    <w:p>
      <w:pPr>
        <w:pStyle w:val="Normal"/>
        <w:rPr/>
      </w:pPr>
      <w:r>
        <w:rPr/>
      </w:r>
    </w:p>
    <w:p>
      <w:pPr>
        <w:pStyle w:val="Normal"/>
        <w:rPr/>
      </w:pPr>
      <w:r>
        <w:rPr/>
        <w:t>SNPs selected using the two sets of LDL-C measurements:</w:t>
      </w:r>
    </w:p>
    <w:tbl>
      <w:tblPr>
        <w:tblW w:w="963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124"/>
        <w:gridCol w:w="1134"/>
        <w:gridCol w:w="851"/>
        <w:gridCol w:w="709"/>
        <w:gridCol w:w="791"/>
        <w:gridCol w:w="792"/>
        <w:gridCol w:w="825"/>
        <w:gridCol w:w="893"/>
        <w:gridCol w:w="808"/>
        <w:gridCol w:w="746"/>
        <w:gridCol w:w="955"/>
      </w:tblGrid>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SNP</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rs_id</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BP</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MAF</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Function</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raw_beta</w:t>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raw_P</w:t>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RINT_beta</w:t>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RINT_P</w:t>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direction</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org_raw_p</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AX-83389438</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rs151193009</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55509585</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0.0136</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R93→C</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-0.3864</w:t>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1.45E-37</w:t>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-0.6210</w:t>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1.91E-42</w:t>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1.45E-37</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AX-11576926</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rs6663252</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55630151</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0.1165</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intron</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0.0723</w:t>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1.93E-05</w:t>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1.06E-06</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AX-39912161</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rs10888897</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55513061</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0.1947</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intron</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-0.0742</w:t>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1.91E-08</w:t>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4.82E-06</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AX-31642001</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rs624612</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55517883</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0.2873</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intron</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-0.0425</w:t>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3.41E-08</w:t>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5.61E-06</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AX-31642169</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rs471705</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55521242</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0.2477</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intron</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-0.0470</w:t>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1.94E-04</w:t>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8.52E-06</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AX-31641677</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rs4275490</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55509939</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0.0661</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1.35E-04</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AX-11541856</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rs505151</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55529187</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0.0601</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G670→E</w:t>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-0.0674</w:t>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5.07E-06</w:t>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2.85E-04</w:t>
            </w:r>
          </w:p>
        </w:tc>
      </w:tr>
      <w:tr>
        <w:trPr>
          <w:trHeight w:val="255" w:hRule="atLeast"/>
        </w:trPr>
        <w:tc>
          <w:tcPr>
            <w:tcW w:w="1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AX-39912159</w:t>
            </w:r>
          </w:p>
        </w:tc>
        <w:tc>
          <w:tcPr>
            <w:tcW w:w="113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t>rs2495478</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55512995</w:t>
            </w:r>
          </w:p>
        </w:tc>
        <w:tc>
          <w:tcPr>
            <w:tcW w:w="7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0.0786</w:t>
            </w:r>
          </w:p>
        </w:tc>
        <w:tc>
          <w:tcPr>
            <w:tcW w:w="79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8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Arial" w:hAnsi="Arial" w:eastAsia="Times New Roman" w:cs="Arial"/>
                <w:sz w:val="14"/>
                <w:szCs w:val="14"/>
                <w:lang w:eastAsia="en-GB"/>
              </w:rPr>
            </w:pPr>
            <w:r>
              <w:rPr>
                <w:rFonts w:eastAsia="Times New Roman" w:cs="Arial" w:ascii="Arial" w:hAnsi="Arial"/>
                <w:sz w:val="14"/>
                <w:szCs w:val="14"/>
                <w:lang w:eastAsia="en-GB"/>
              </w:rPr>
            </w:r>
          </w:p>
        </w:tc>
        <w:tc>
          <w:tcPr>
            <w:tcW w:w="7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Arial"/>
                <w:sz w:val="14"/>
                <w:szCs w:val="14"/>
                <w:lang w:eastAsia="en-GB"/>
              </w:rPr>
            </w:pPr>
            <w:r>
              <w:rPr>
                <w:rFonts w:eastAsia="BatangChe" w:cs="Arial" w:ascii="BatangChe" w:hAnsi="BatangChe"/>
                <w:sz w:val="14"/>
                <w:szCs w:val="14"/>
                <w:lang w:eastAsia="en-GB"/>
              </w:rPr>
              <w:t>--+--</w:t>
            </w:r>
          </w:p>
        </w:tc>
        <w:tc>
          <w:tcPr>
            <w:tcW w:w="9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Arial" w:hAnsi="Arial" w:eastAsia="Times New Roman" w:cs="Arial"/>
                <w:sz w:val="14"/>
                <w:szCs w:val="14"/>
                <w:lang w:eastAsia="en-GB"/>
              </w:rPr>
            </w:pPr>
            <w:r>
              <w:rPr>
                <w:rFonts w:eastAsia="Times New Roman" w:cs="Arial" w:ascii="Arial" w:hAnsi="Arial"/>
                <w:sz w:val="14"/>
                <w:szCs w:val="14"/>
                <w:lang w:eastAsia="en-GB"/>
              </w:rPr>
              <w:t>3.58E-04</w:t>
            </w:r>
          </w:p>
        </w:tc>
      </w:tr>
    </w:tbl>
    <w:p>
      <w:pPr>
        <w:pStyle w:val="Normal"/>
        <w:rPr/>
      </w:pPr>
      <w:r>
        <w:rPr/>
      </w:r>
    </w:p>
    <w:p>
      <w:pPr>
        <w:pStyle w:val="ListParagraph"/>
        <w:numPr>
          <w:ilvl w:val="0"/>
          <w:numId w:val="1"/>
        </w:numPr>
        <w:rPr/>
      </w:pPr>
      <w:r>
        <w:rPr/>
        <w:t>Some side notes</w:t>
      </w:r>
    </w:p>
    <w:p>
      <w:pPr>
        <w:pStyle w:val="Normal"/>
        <w:rPr/>
      </w:pPr>
      <w:r>
        <w:rPr/>
        <w:t xml:space="preserve">The leading SNP hit AX-83389438 (rs151193009) was found only in the CHB, CHS, JPT and KHV cohorts in the 1000 Genomes Project (phase 3) data set, with the MAF ranges between 1-2%. </w:t>
      </w:r>
    </w:p>
    <w:p>
      <w:pPr>
        <w:pStyle w:val="Normal"/>
        <w:rPr/>
      </w:pPr>
      <w:r>
        <w:rPr/>
        <w:t xml:space="preserve">Two SNPs in this region are also available in the SNP 384 panel. </w:t>
      </w:r>
    </w:p>
    <w:p>
      <w:pPr>
        <w:pStyle w:val="Normal"/>
        <w:rPr/>
      </w:pPr>
      <w:r>
        <w:rPr/>
        <w:t>AX-11150762 (rs11206510)</w:t>
      </w:r>
    </w:p>
    <w:tbl>
      <w:tblPr>
        <w:tblW w:w="9020" w:type="dxa"/>
        <w:jc w:val="lef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4a0" w:noVBand="1" w:noHBand="0" w:lastColumn="0" w:firstColumn="1" w:lastRow="0" w:firstRow="1"/>
      </w:tblPr>
      <w:tblGrid>
        <w:gridCol w:w="1579"/>
        <w:gridCol w:w="482"/>
        <w:gridCol w:w="928"/>
        <w:gridCol w:w="730"/>
        <w:gridCol w:w="370"/>
        <w:gridCol w:w="370"/>
        <w:gridCol w:w="1106"/>
        <w:gridCol w:w="888"/>
        <w:gridCol w:w="809"/>
        <w:gridCol w:w="929"/>
        <w:gridCol w:w="827"/>
      </w:tblGrid>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CHR</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BP</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MAF</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a2</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meta_beta</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meta_se</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meta_q</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meta_dir</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meta_p</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raw_dir_ldl_meta_0</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0.0308</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0.0151</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0.4555</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0.04063</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raw_dir_ldl_meta_1</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0.0351</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0.015</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0.4839</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0.01933</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raw_dir_ldl_meta_2</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0.0287</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0.0151</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0.4496</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0.05688</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raw_dir_ldl_meta_3</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0.0245</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0.0151</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0.4445</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0.1048</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Rint_dir_ldl_meta_0</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0.0444</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0.0228</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0.5506</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0.05113</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_ldl_meta_1</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0.0514</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0.0227</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0.5647</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0.02332</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_ldl_meta_2</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0.0132</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0.0238</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0.5117</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0.579</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_ldl_meta_3</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55496039</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0.0564</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T</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0.0166</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0.0238</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0.5042</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8"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0.4857</w:t>
            </w:r>
          </w:p>
        </w:tc>
      </w:tr>
    </w:tbl>
    <w:p>
      <w:pPr>
        <w:pStyle w:val="Normal"/>
        <w:rPr/>
      </w:pPr>
      <w:r>
        <w:rPr/>
      </w:r>
    </w:p>
    <w:p>
      <w:pPr>
        <w:pStyle w:val="Normal"/>
        <w:rPr/>
      </w:pPr>
      <w:r>
        <w:rPr/>
        <w:t>AX-39911995 (rs2479409)</w:t>
      </w:r>
    </w:p>
    <w:tbl>
      <w:tblPr>
        <w:tblW w:w="9020" w:type="dxa"/>
        <w:jc w:val="lef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579"/>
        <w:gridCol w:w="482"/>
        <w:gridCol w:w="928"/>
        <w:gridCol w:w="730"/>
        <w:gridCol w:w="370"/>
        <w:gridCol w:w="370"/>
        <w:gridCol w:w="1106"/>
        <w:gridCol w:w="888"/>
        <w:gridCol w:w="809"/>
        <w:gridCol w:w="929"/>
        <w:gridCol w:w="827"/>
      </w:tblGrid>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CHR</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BP</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MAF</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a2</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meta_beta</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meta_se</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meta_q</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meta_dir</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meta_p</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raw_dir_ldl_meta_0</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-0.0073</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0.0075</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0.5959</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0.3301</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raw_dir_ldl_meta_1</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-0.0156</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0.0075</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0.5641</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0.0378</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raw_dir_ldl_meta_2</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-0.0124</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0.0076</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0.5271</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0.1011</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raw_dir_ldl_meta_3</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-0.0148</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0.0076</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0.4978</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0.05061</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_ldl_meta_0</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-0.0117</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0.0114</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0.7847</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0.3039</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_ldl_meta_1</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-0.0249</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0.0113</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0.7438</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0.02813</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_ldl_meta_2</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-0.0096</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0.0117</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0.7401</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0.4134</w:t>
            </w:r>
          </w:p>
        </w:tc>
      </w:tr>
      <w:tr>
        <w:trPr>
          <w:trHeight w:val="300" w:hRule="atLeast"/>
        </w:trPr>
        <w:tc>
          <w:tcPr>
            <w:tcW w:w="15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rint_dir _ldl_meta_3</w:t>
            </w:r>
          </w:p>
        </w:tc>
        <w:tc>
          <w:tcPr>
            <w:tcW w:w="48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1</w:t>
            </w:r>
          </w:p>
        </w:tc>
        <w:tc>
          <w:tcPr>
            <w:tcW w:w="92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55504650</w:t>
            </w:r>
          </w:p>
        </w:tc>
        <w:tc>
          <w:tcPr>
            <w:tcW w:w="7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0.3181</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A</w:t>
            </w:r>
          </w:p>
        </w:tc>
        <w:tc>
          <w:tcPr>
            <w:tcW w:w="3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G</w:t>
            </w:r>
          </w:p>
        </w:tc>
        <w:tc>
          <w:tcPr>
            <w:tcW w:w="11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-0.0118</w:t>
            </w:r>
          </w:p>
        </w:tc>
        <w:tc>
          <w:tcPr>
            <w:tcW w:w="8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0.0117</w:t>
            </w:r>
          </w:p>
        </w:tc>
        <w:tc>
          <w:tcPr>
            <w:tcW w:w="8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0.7811</w:t>
            </w:r>
          </w:p>
        </w:tc>
        <w:tc>
          <w:tcPr>
            <w:tcW w:w="9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rPr>
                <w:rFonts w:ascii="BatangChe" w:hAnsi="BatangChe" w:eastAsia="BatangChe" w:cs="Times New Roman"/>
                <w:color w:val="000000"/>
                <w:sz w:val="16"/>
                <w:szCs w:val="16"/>
                <w:lang w:eastAsia="en-GB"/>
              </w:rPr>
            </w:pPr>
            <w:r>
              <w:rPr>
                <w:rFonts w:eastAsia="BatangChe" w:cs="Times New Roman" w:ascii="BatangChe" w:hAnsi="BatangChe"/>
                <w:color w:val="000000"/>
                <w:sz w:val="16"/>
                <w:szCs w:val="16"/>
                <w:lang w:eastAsia="en-GB"/>
              </w:rPr>
              <w:t>--++-</w:t>
            </w:r>
          </w:p>
        </w:tc>
        <w:tc>
          <w:tcPr>
            <w:tcW w:w="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bottom"/>
          </w:tcPr>
          <w:p>
            <w:pPr>
              <w:pStyle w:val="Normal"/>
              <w:spacing w:lineRule="auto" w:line="240" w:before="0" w:after="0"/>
              <w:jc w:val="right"/>
              <w:rPr>
                <w:rFonts w:ascii="Calibri" w:hAnsi="Calibri" w:eastAsia="Times New Roman" w:cs="Times New Roman"/>
                <w:color w:val="000000"/>
                <w:sz w:val="16"/>
                <w:szCs w:val="16"/>
                <w:lang w:eastAsia="en-GB"/>
              </w:rPr>
            </w:pPr>
            <w:r>
              <w:rPr>
                <w:rFonts w:eastAsia="Times New Roman" w:cs="Times New Roman"/>
                <w:color w:val="000000"/>
                <w:sz w:val="16"/>
                <w:szCs w:val="16"/>
                <w:lang w:eastAsia="en-GB"/>
              </w:rPr>
              <w:t>0.3156</w:t>
            </w:r>
          </w:p>
        </w:tc>
      </w:tr>
    </w:tbl>
    <w:p>
      <w:pPr>
        <w:pStyle w:val="Normal"/>
        <w:widowControl/>
        <w:bidi w:val="0"/>
        <w:spacing w:lineRule="auto" w:line="276" w:before="0" w:after="200"/>
        <w:jc w:val="left"/>
        <w:rPr/>
      </w:pPr>
      <w:r>
        <w:rPr/>
      </w:r>
    </w:p>
    <w:sectPr>
      <w:footerReference w:type="default" r:id="rId23"/>
      <w:type w:val="nextPage"/>
      <w:pgSz w:w="11906" w:h="16838"/>
      <w:pgMar w:left="1440" w:right="1440" w:header="0" w:top="1440" w:footer="708"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BatangCh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21236489"/>
    </w:sdtPr>
    <w:sdtContent>
      <w:p>
        <w:pPr>
          <w:pStyle w:val="Footer"/>
          <w:jc w:val="right"/>
          <w:rPr/>
        </w:pPr>
        <w:r>
          <w:rPr/>
          <w:fldChar w:fldCharType="begin"/>
        </w:r>
        <w:r>
          <w:instrText> PAGE </w:instrText>
        </w:r>
        <w:r>
          <w:fldChar w:fldCharType="separate"/>
        </w:r>
        <w:r>
          <w:t>2</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6"/>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GB"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819c0"/>
    <w:rPr>
      <w:rFonts w:ascii="Tahoma" w:hAnsi="Tahoma" w:cs="Tahoma"/>
      <w:sz w:val="16"/>
      <w:szCs w:val="16"/>
    </w:rPr>
  </w:style>
  <w:style w:type="character" w:styleId="FooterChar" w:customStyle="1">
    <w:name w:val="Footer Char"/>
    <w:basedOn w:val="DefaultParagraphFont"/>
    <w:link w:val="Footer"/>
    <w:uiPriority w:val="99"/>
    <w:qFormat/>
    <w:rsid w:val="006f7aa4"/>
    <w:rPr>
      <w:sz w:val="21"/>
      <w:lang w:val="en-US" w:eastAsia="ja-JP"/>
    </w:rPr>
  </w:style>
  <w:style w:type="paragraph" w:styleId="Heading">
    <w:name w:val="Heading"/>
    <w:basedOn w:val="Normal"/>
    <w:next w:val="TextBody"/>
    <w:qFormat/>
    <w:pPr>
      <w:keepNext/>
      <w:spacing w:before="240" w:after="120"/>
    </w:pPr>
    <w:rPr>
      <w:rFonts w:ascii="Liberation Sans" w:hAnsi="Liberation Sans" w:eastAsia="Droid Sans Fallback" w:cs="Droid Sans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3819c0"/>
    <w:pPr>
      <w:spacing w:before="0" w:after="200"/>
      <w:ind w:left="720" w:hanging="0"/>
      <w:contextualSpacing/>
    </w:pPr>
    <w:rPr/>
  </w:style>
  <w:style w:type="paragraph" w:styleId="BalloonText">
    <w:name w:val="Balloon Text"/>
    <w:basedOn w:val="Normal"/>
    <w:link w:val="BalloonTextChar"/>
    <w:uiPriority w:val="99"/>
    <w:semiHidden/>
    <w:unhideWhenUsed/>
    <w:qFormat/>
    <w:rsid w:val="003819c0"/>
    <w:pPr>
      <w:spacing w:lineRule="auto" w:line="240" w:before="0" w:after="0"/>
    </w:pPr>
    <w:rPr>
      <w:rFonts w:ascii="Tahoma" w:hAnsi="Tahoma" w:cs="Tahoma"/>
      <w:sz w:val="16"/>
      <w:szCs w:val="16"/>
    </w:rPr>
  </w:style>
  <w:style w:type="paragraph" w:styleId="Footer">
    <w:name w:val="Footer"/>
    <w:basedOn w:val="Normal"/>
    <w:link w:val="FooterChar"/>
    <w:uiPriority w:val="99"/>
    <w:unhideWhenUsed/>
    <w:rsid w:val="006f7aa4"/>
    <w:pPr>
      <w:tabs>
        <w:tab w:val="center" w:pos="4680" w:leader="none"/>
        <w:tab w:val="right" w:pos="9360" w:leader="none"/>
      </w:tabs>
      <w:spacing w:lineRule="auto" w:line="240" w:before="0" w:after="0"/>
    </w:pPr>
    <w:rPr>
      <w:sz w:val="21"/>
      <w:lang w:val="en-US" w:eastAsia="ja-JP"/>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090fdc"/>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0855B-B055-49D2-B109-5193AFEA1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Application>LibreOffice/5.0.6.3$Linux_X86_64 LibreOffice_project/00m0$Build-3</Application>
  <Paragraphs>1357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2016-06-03T12:23:00Z</dcterms:created>
  <dc:creator>Kuang Lin</dc:creator>
  <dc:language>en-GB</dc:language>
  <cp:lastPrinted>2016-06-16T13:56:00Z</cp:lastPrinted>
  <dcterms:modified xsi:type="dcterms:W3CDTF">2016-06-22T16:27:29Z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