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440"/>
        <w:jc w:val="center"/>
        <w:tblLayout w:type="fixed"/>
        <w:tblLook w:firstColumn="1" w:firstRow="1" w:lastColumn="0" w:lastRow="0" w:noHBand="0" w:noVBand="1" w:val="04A0"/>
      </w:tblPr>
      <w:tblGrid>
        <w:gridCol w:w="10440"/>
      </w:tblGrid>
      <w:tr>
        <w:tc>
          <w:tcPr>
            <w:tcW w:type="dxa" w:w="10440"/>
            <w:shd w:val="clear" w:color="auto" w:fill="008080"/>
            <w:tcBorders>
              <w:top w:val="nil" w:sz="0" w:space="0" w:color="FFFFFF"/>
              <w:left w:val="nil" w:sz="0" w:space="0" w:color="FFFFFF"/>
              <w:bottom w:val="nil" w:sz="0" w:space="0" w:color="FFFFFF"/>
              <w:right w:val="nil" w:sz="0" w:space="0" w:color="FFFFFF"/>
            </w:tcBorders>
            <w:tcMar>
              <w:top w:w="120" w:type="dxa"/>
              <w:left w:w="160" w:type="dxa"/>
              <w:bottom w:w="120" w:type="dxa"/>
              <w:right w:w="160" w:type="dxa"/>
            </w:tcMar>
          </w:tcPr>
          <w:p>
            <w:pPr>
              <w:spacing w:before="0" w:after="0"/>
            </w:pPr>
            <w:r>
              <w:rPr>
                <w:rFonts w:ascii="Calibri" w:hAnsi="Calibri" w:eastAsia="Calibri"/>
                <w:b/>
                <w:i w:val="0"/>
                <w:color w:val="FFFFFF"/>
                <w:sz w:val="44"/>
              </w:rPr>
              <w:t>Qryptic Inc.</w:t>
            </w:r>
            <w:r>
              <w:rPr>
                <w:rFonts w:ascii="Calibri" w:hAnsi="Calibri" w:eastAsia="Calibri"/>
                <w:b/>
                <w:i w:val="0"/>
                <w:color w:val="FFFFFF"/>
                <w:sz w:val="44"/>
              </w:rPr>
              <w:t xml:space="preserve">    Polynomial Multiplier IP</w:t>
            </w:r>
          </w:p>
        </w:tc>
      </w:tr>
    </w:tbl>
    <w:p>
      <w:pPr>
        <w:spacing w:before="0" w:after="120"/>
      </w:pPr>
    </w:p>
    <w:tbl>
      <w:tblPr>
        <w:tblW w:type="dxa" w:w="10440"/>
        <w:jc w:val="center"/>
        <w:tblLayout w:type="fixed"/>
        <w:tblLook w:firstColumn="1" w:firstRow="1" w:lastColumn="0" w:lastRow="0" w:noHBand="0" w:noVBand="1" w:val="04A0"/>
      </w:tblPr>
      <w:tblGrid>
        <w:gridCol w:w="3920"/>
        <w:gridCol w:w="6520"/>
      </w:tblGrid>
      <w:tr>
        <w:tc>
          <w:tcPr>
            <w:tcW w:type="dxa" w:w="3920"/>
            <w:shd w:val="clear" w:color="auto" w:fill="ECF6F6"/>
            <w:tcBorders>
              <w:top w:val="single" w:sz="4" w:space="0" w:color="C4E1E1"/>
              <w:left w:val="single" w:sz="4" w:space="0" w:color="C4E1E1"/>
              <w:bottom w:val="single" w:sz="4" w:space="0" w:color="C4E1E1"/>
              <w:right w:val="single" w:sz="4" w:space="0" w:color="C4E1E1"/>
            </w:tcBorders>
            <w:tcMar>
              <w:top w:w="80" w:type="dxa"/>
              <w:left w:w="120" w:type="dxa"/>
              <w:bottom w:w="80" w:type="dxa"/>
              <w:right w:w="120" w:type="dxa"/>
            </w:tcMar>
          </w:tcPr>
          <w:p>
            <w:pPr>
              <w:spacing w:before="0" w:after="120"/>
            </w:pPr>
            <w:r>
              <w:rPr>
                <w:rFonts w:ascii="Calibri" w:hAnsi="Calibri" w:eastAsia="Calibri"/>
                <w:b/>
                <w:i w:val="0"/>
                <w:color w:val="008080"/>
                <w:sz w:val="28"/>
              </w:rPr>
              <w:t>Highlights</w:t>
            </w:r>
          </w:p>
          <w:p>
            <w:pPr>
              <w:spacing w:before="20" w:after="60" w:line="252" w:lineRule="auto"/>
              <w:ind w:left="259" w:hanging="216"/>
            </w:pPr>
            <w:r>
              <w:rPr>
                <w:rFonts w:ascii="Calibri" w:hAnsi="Calibri" w:eastAsia="Calibri"/>
                <w:b w:val="0"/>
                <w:i w:val="0"/>
                <w:color w:val="222222"/>
                <w:sz w:val="21"/>
              </w:rPr>
              <w:t>•  Polynomial multiplication for CRYSTALS-Kyber / ML-KEM, degree 256, modulus 3329</w:t>
            </w:r>
          </w:p>
          <w:p>
            <w:pPr>
              <w:spacing w:before="20" w:after="60" w:line="252" w:lineRule="auto"/>
              <w:ind w:left="259" w:hanging="216"/>
            </w:pPr>
            <w:r>
              <w:rPr>
                <w:rFonts w:ascii="Calibri" w:hAnsi="Calibri" w:eastAsia="Calibri"/>
                <w:b w:val="0"/>
                <w:i w:val="0"/>
                <w:color w:val="222222"/>
                <w:sz w:val="21"/>
              </w:rPr>
              <w:t>•  The same ring covers ML-KEM-512, ML-KEM-768, and ML-KEM-1024</w:t>
            </w:r>
          </w:p>
          <w:p>
            <w:pPr>
              <w:spacing w:before="20" w:after="60" w:line="252" w:lineRule="auto"/>
              <w:ind w:left="259" w:hanging="216"/>
            </w:pPr>
            <w:r>
              <w:rPr>
                <w:rFonts w:ascii="Calibri" w:hAnsi="Calibri" w:eastAsia="Calibri"/>
                <w:b w:val="0"/>
                <w:i w:val="0"/>
                <w:color w:val="222222"/>
                <w:sz w:val="21"/>
              </w:rPr>
              <w:t>•  Degree and modulus set per delivery, for other algorithms</w:t>
            </w:r>
          </w:p>
          <w:p>
            <w:pPr>
              <w:spacing w:before="20" w:after="60" w:line="252" w:lineRule="auto"/>
              <w:ind w:left="259" w:hanging="216"/>
            </w:pPr>
            <w:r>
              <w:rPr>
                <w:rFonts w:ascii="Calibri" w:hAnsi="Calibri" w:eastAsia="Calibri"/>
                <w:b w:val="0"/>
                <w:i w:val="0"/>
                <w:color w:val="222222"/>
                <w:sz w:val="21"/>
              </w:rPr>
              <w:t>•  Butterfly units per NTT stage, chosen by the customer as 1, 2, 4, or 8. Doubling this doubles the throughput</w:t>
            </w:r>
          </w:p>
          <w:p>
            <w:pPr>
              <w:spacing w:before="20" w:after="60" w:line="252" w:lineRule="auto"/>
              <w:ind w:left="259" w:hanging="216"/>
            </w:pPr>
            <w:r>
              <w:rPr>
                <w:rFonts w:ascii="Calibri" w:hAnsi="Calibri" w:eastAsia="Calibri"/>
                <w:b w:val="0"/>
                <w:i w:val="0"/>
                <w:color w:val="222222"/>
                <w:sz w:val="21"/>
              </w:rPr>
              <w:t>•  One Kyber polynomial multiplication takes 128 cycles at 1 butterfly unit per stage, 64 at 2, 32 at 4, and 16 at 8. This is a very low number</w:t>
            </w:r>
          </w:p>
          <w:p>
            <w:pPr>
              <w:spacing w:before="20" w:after="60" w:line="252" w:lineRule="auto"/>
              <w:ind w:left="259" w:hanging="216"/>
            </w:pPr>
            <w:r>
              <w:rPr>
                <w:rFonts w:ascii="Calibri" w:hAnsi="Calibri" w:eastAsia="Calibri"/>
                <w:b w:val="0"/>
                <w:i w:val="0"/>
                <w:color w:val="222222"/>
                <w:sz w:val="21"/>
              </w:rPr>
              <w:t>•  Zero block RAM</w:t>
            </w:r>
          </w:p>
          <w:p>
            <w:pPr>
              <w:spacing w:before="20" w:after="60" w:line="252" w:lineRule="auto"/>
              <w:ind w:left="259" w:hanging="216"/>
            </w:pPr>
            <w:r>
              <w:rPr>
                <w:rFonts w:ascii="Calibri" w:hAnsi="Calibri" w:eastAsia="Calibri"/>
                <w:b w:val="0"/>
                <w:i w:val="0"/>
                <w:color w:val="222222"/>
                <w:sz w:val="21"/>
              </w:rPr>
              <w:t>•  Each stage starts when the coefficients it needs are ready</w:t>
            </w:r>
          </w:p>
          <w:p>
            <w:pPr>
              <w:spacing w:before="20" w:after="60" w:line="252" w:lineRule="auto"/>
              <w:ind w:left="259" w:hanging="216"/>
            </w:pPr>
            <w:r>
              <w:rPr>
                <w:rFonts w:ascii="Calibri" w:hAnsi="Calibri" w:eastAsia="Calibri"/>
                <w:b w:val="0"/>
                <w:i w:val="0"/>
                <w:color w:val="222222"/>
                <w:sz w:val="21"/>
              </w:rPr>
              <w:t>•  Twiddle factors computed as data moves; no separate bit-reversal step</w:t>
            </w:r>
          </w:p>
          <w:p>
            <w:pPr>
              <w:spacing w:before="20" w:after="60" w:line="252" w:lineRule="auto"/>
              <w:ind w:left="259" w:hanging="216"/>
            </w:pPr>
            <w:r>
              <w:rPr>
                <w:rFonts w:ascii="Calibri" w:hAnsi="Calibri" w:eastAsia="Calibri"/>
                <w:b w:val="0"/>
                <w:i w:val="0"/>
                <w:color w:val="222222"/>
                <w:sz w:val="21"/>
              </w:rPr>
              <w:t>•  Choice to transform the second polynomial in the hardware, or not</w:t>
            </w:r>
          </w:p>
          <w:p>
            <w:pPr>
              <w:spacing w:before="20" w:after="60" w:line="252" w:lineRule="auto"/>
              <w:ind w:left="259" w:hanging="216"/>
            </w:pPr>
            <w:r>
              <w:rPr>
                <w:rFonts w:ascii="Calibri" w:hAnsi="Calibri" w:eastAsia="Calibri"/>
                <w:b w:val="0"/>
                <w:i w:val="0"/>
                <w:color w:val="222222"/>
                <w:sz w:val="21"/>
              </w:rPr>
              <w:t>•  Streaming interface with backpressure</w:t>
            </w:r>
          </w:p>
          <w:p>
            <w:pPr>
              <w:spacing w:before="20" w:after="60" w:line="252" w:lineRule="auto"/>
              <w:ind w:left="259" w:hanging="216"/>
            </w:pPr>
            <w:r>
              <w:rPr>
                <w:rFonts w:ascii="Calibri" w:hAnsi="Calibri" w:eastAsia="Calibri"/>
                <w:b w:val="0"/>
                <w:i w:val="0"/>
                <w:color w:val="222222"/>
                <w:sz w:val="21"/>
              </w:rPr>
              <w:t>•  Kyber products checked against an independent schoolbook multiplier; code coverage collected</w:t>
            </w:r>
          </w:p>
          <w:p>
            <w:pPr>
              <w:spacing w:before="200" w:after="80" w:line="259" w:lineRule="auto"/>
            </w:pPr>
            <w:r>
              <w:rPr>
                <w:rFonts w:ascii="Calibri" w:hAnsi="Calibri" w:eastAsia="Calibri"/>
                <w:b/>
                <w:i w:val="0"/>
                <w:color w:val="008080"/>
                <w:sz w:val="28"/>
              </w:rPr>
              <w:t>Applications</w:t>
            </w:r>
          </w:p>
          <w:p>
            <w:pPr>
              <w:spacing w:before="20" w:after="60" w:line="252" w:lineRule="auto"/>
              <w:ind w:left="259" w:hanging="216"/>
            </w:pPr>
            <w:r>
              <w:rPr>
                <w:rFonts w:ascii="Calibri" w:hAnsi="Calibri" w:eastAsia="Calibri"/>
                <w:b w:val="0"/>
                <w:i w:val="0"/>
                <w:color w:val="222222"/>
                <w:sz w:val="21"/>
              </w:rPr>
              <w:t>•  ML-KEM key generation, encapsulation, and decapsulation</w:t>
            </w:r>
          </w:p>
          <w:p>
            <w:pPr>
              <w:spacing w:before="20" w:after="60" w:line="252" w:lineRule="auto"/>
              <w:ind w:left="259" w:hanging="216"/>
            </w:pPr>
            <w:r>
              <w:rPr>
                <w:rFonts w:ascii="Calibri" w:hAnsi="Calibri" w:eastAsia="Calibri"/>
                <w:b w:val="0"/>
                <w:i w:val="0"/>
                <w:color w:val="222222"/>
                <w:sz w:val="21"/>
              </w:rPr>
              <w:t>•  Other polynomial multiplies once degree and modulus are set</w:t>
            </w:r>
          </w:p>
          <w:p>
            <w:pPr>
              <w:spacing w:before="20" w:after="60" w:line="252" w:lineRule="auto"/>
              <w:ind w:left="259" w:hanging="216"/>
            </w:pPr>
            <w:r>
              <w:rPr>
                <w:rFonts w:ascii="Calibri" w:hAnsi="Calibri" w:eastAsia="Calibri"/>
                <w:b w:val="0"/>
                <w:i w:val="0"/>
                <w:color w:val="222222"/>
                <w:sz w:val="21"/>
              </w:rPr>
              <w:t>•  Hardware security modules</w:t>
            </w:r>
          </w:p>
          <w:p>
            <w:pPr>
              <w:spacing w:before="20" w:after="60" w:line="252" w:lineRule="auto"/>
              <w:ind w:left="259" w:hanging="216"/>
            </w:pPr>
            <w:r>
              <w:rPr>
                <w:rFonts w:ascii="Calibri" w:hAnsi="Calibri" w:eastAsia="Calibri"/>
                <w:b w:val="0"/>
                <w:i w:val="0"/>
                <w:color w:val="222222"/>
                <w:sz w:val="21"/>
              </w:rPr>
              <w:t>•  FPGA security subsystems</w:t>
            </w:r>
          </w:p>
          <w:p>
            <w:pPr>
              <w:spacing w:before="20" w:after="60" w:line="252" w:lineRule="auto"/>
              <w:ind w:left="259" w:hanging="216"/>
            </w:pPr>
            <w:r>
              <w:rPr>
                <w:rFonts w:ascii="Calibri" w:hAnsi="Calibri" w:eastAsia="Calibri"/>
                <w:b w:val="0"/>
                <w:i w:val="0"/>
                <w:color w:val="222222"/>
                <w:sz w:val="21"/>
              </w:rPr>
              <w:t>•  ASIC multiply blocks</w:t>
            </w:r>
          </w:p>
          <w:p>
            <w:pPr>
              <w:spacing w:before="200" w:after="80" w:line="259" w:lineRule="auto"/>
            </w:pPr>
            <w:r>
              <w:rPr>
                <w:rFonts w:ascii="Calibri" w:hAnsi="Calibri" w:eastAsia="Calibri"/>
                <w:b/>
                <w:i w:val="0"/>
                <w:color w:val="008080"/>
                <w:sz w:val="28"/>
              </w:rPr>
              <w:t>Technology</w:t>
            </w:r>
          </w:p>
          <w:p>
            <w:pPr>
              <w:spacing w:before="20" w:after="60" w:line="252" w:lineRule="auto"/>
              <w:ind w:left="259" w:hanging="216"/>
            </w:pPr>
            <w:r>
              <w:rPr>
                <w:rFonts w:ascii="Calibri" w:hAnsi="Calibri" w:eastAsia="Calibri"/>
                <w:b w:val="0"/>
                <w:i w:val="0"/>
                <w:color w:val="222222"/>
                <w:sz w:val="21"/>
              </w:rPr>
              <w:t>•  Measured on Xilinx Artix-7 xc7a100tiftg256-1L</w:t>
            </w:r>
          </w:p>
          <w:p>
            <w:pPr>
              <w:spacing w:before="20" w:after="60" w:line="252" w:lineRule="auto"/>
              <w:ind w:left="259" w:hanging="216"/>
            </w:pPr>
            <w:r>
              <w:rPr>
                <w:rFonts w:ascii="Calibri" w:hAnsi="Calibri" w:eastAsia="Calibri"/>
                <w:b w:val="0"/>
                <w:i w:val="0"/>
                <w:color w:val="222222"/>
                <w:sz w:val="21"/>
              </w:rPr>
              <w:t>•  Place-and-route, out of context</w:t>
            </w:r>
          </w:p>
          <w:p>
            <w:pPr>
              <w:spacing w:before="20" w:after="60" w:line="252" w:lineRule="auto"/>
              <w:ind w:left="259" w:hanging="216"/>
            </w:pPr>
            <w:r>
              <w:rPr>
                <w:rFonts w:ascii="Calibri" w:hAnsi="Calibri" w:eastAsia="Calibri"/>
                <w:b w:val="0"/>
                <w:i w:val="0"/>
                <w:color w:val="222222"/>
                <w:sz w:val="21"/>
              </w:rPr>
              <w:t>•  Delivered for an FPGA device, or ported to an ASIC, as scoped</w:t>
            </w:r>
          </w:p>
          <w:p>
            <w:pPr>
              <w:spacing w:before="240" w:after="0" w:line="259" w:lineRule="auto"/>
            </w:pPr>
            <w:r>
              <w:rPr>
                <w:rFonts w:ascii="Calibri" w:hAnsi="Calibri" w:eastAsia="Calibri"/>
                <w:b/>
                <w:i w:val="0"/>
                <w:color w:val="005656"/>
                <w:sz w:val="21"/>
              </w:rPr>
              <w:t>Contact: [email]</w:t>
            </w:r>
          </w:p>
        </w:tc>
        <w:tc>
          <w:tcPr>
            <w:tcW w:type="dxa" w:w="6520"/>
            <w:shd w:val="clear" w:color="auto" w:fill="FFFFFF"/>
            <w:tcBorders>
              <w:top w:val="single" w:sz="4" w:space="0" w:color="C4E1E1"/>
              <w:left w:val="single" w:sz="4" w:space="0" w:color="C4E1E1"/>
              <w:bottom w:val="single" w:sz="4" w:space="0" w:color="C4E1E1"/>
              <w:right w:val="single" w:sz="4" w:space="0" w:color="C4E1E1"/>
            </w:tcBorders>
            <w:tcMar>
              <w:top w:w="80" w:type="dxa"/>
              <w:left w:w="140" w:type="dxa"/>
              <w:bottom w:w="100" w:type="dxa"/>
              <w:right w:w="120" w:type="dxa"/>
            </w:tcMar>
          </w:tcPr>
          <w:p>
            <w:pPr>
              <w:spacing w:before="0" w:after="120"/>
            </w:pPr>
            <w:r>
              <w:rPr>
                <w:rFonts w:ascii="Calibri" w:hAnsi="Calibri" w:eastAsia="Calibri"/>
                <w:b/>
                <w:i w:val="0"/>
                <w:color w:val="008080"/>
                <w:sz w:val="28"/>
              </w:rPr>
              <w:t>Overview</w:t>
            </w:r>
          </w:p>
          <w:p>
            <w:pPr>
              <w:spacing w:before="0" w:after="160" w:line="259" w:lineRule="auto"/>
            </w:pPr>
            <w:r>
              <w:rPr>
                <w:rFonts w:ascii="Calibri" w:hAnsi="Calibri" w:eastAsia="Calibri"/>
                <w:b w:val="0"/>
                <w:i w:val="0"/>
                <w:color w:val="222222"/>
                <w:sz w:val="22"/>
              </w:rPr>
              <w:t>The Qryptic polynomial multiplier IP streams two polynomials through a number-theoretic transform, a pairwise multiply, an inverse transform, and a final scale, and streams the product out. The build that has been implemented and measured is CRYSTALS-Kyber / ML-KEM: degree 256, modulus 3329.</w:t>
            </w:r>
          </w:p>
          <w:p>
            <w:pPr>
              <w:spacing w:before="0" w:after="160" w:line="259" w:lineRule="auto"/>
            </w:pPr>
            <w:r>
              <w:rPr>
                <w:rFonts w:ascii="Calibri" w:hAnsi="Calibri" w:eastAsia="Calibri"/>
                <w:b w:val="0"/>
                <w:i w:val="0"/>
                <w:color w:val="222222"/>
                <w:sz w:val="22"/>
              </w:rPr>
              <w:t>Degree and modulus are chosen for each delivery. A different degree changes the number of transform stages. A different modulus changes the coefficient width and the modular reduction. Separately, the customer sets how many butterfly units sit in each NTT stage. The choices are 1, 2, 4, and 8 units per stage. Doubling the units per stage doubles the throughput, and it raises the lookup-table, flip-flop, and DSP cost. On the Kyber build one polynomial multiplication takes 128 cycles at 1 unit per stage, 64 at 2, 32 at 4, and 16 at 8. This is a very low number.</w:t>
            </w:r>
          </w:p>
          <w:p>
            <w:pPr>
              <w:spacing w:before="0" w:after="160" w:line="259" w:lineRule="auto"/>
            </w:pPr>
            <w:r>
              <w:rPr>
                <w:rFonts w:ascii="Calibri" w:hAnsi="Calibri" w:eastAsia="Calibri"/>
                <w:b w:val="0"/>
                <w:i w:val="0"/>
                <w:color w:val="222222"/>
                <w:sz w:val="22"/>
              </w:rPr>
              <w:t>On the Kyber build the sequence is the FIPS 203 transform, and the final scale is 3303, which is 128⁻¹ mod 3329.</w:t>
            </w:r>
          </w:p>
          <w:p>
            <w:pPr>
              <w:spacing w:before="0" w:after="160" w:line="259" w:lineRule="auto"/>
            </w:pPr>
            <w:r>
              <w:rPr>
                <w:rFonts w:ascii="Calibri" w:hAnsi="Calibri" w:eastAsia="Calibri"/>
                <w:b w:val="0"/>
                <w:i w:val="0"/>
                <w:color w:val="222222"/>
                <w:sz w:val="22"/>
              </w:rPr>
              <w:t>Each stage starts as soon as the coefficients it needs are ready, and keeps only the alignment storage for that stage. Twiddle factors are computed in step with the data. The schedule emits coefficients in the order the multiply consumes, so there is no separate bit-reversal step. Every measured build uses zero block RAM; the alignment state is in registers and distributed memory.</w:t>
            </w:r>
          </w:p>
          <w:p>
            <w:pPr>
              <w:spacing w:before="0" w:after="160" w:line="259" w:lineRule="auto"/>
            </w:pPr>
            <w:r>
              <w:rPr>
                <w:rFonts w:ascii="Calibri" w:hAnsi="Calibri" w:eastAsia="Calibri"/>
                <w:b w:val="0"/>
                <w:i w:val="0"/>
                <w:color w:val="222222"/>
                <w:sz w:val="22"/>
              </w:rPr>
              <w:t>You choose whether the second polynomial is transformed in the hardware. The interface supports backpressure.</w:t>
            </w:r>
          </w:p>
        </w:tc>
      </w:tr>
    </w:tbl>
    <w:p>
      <w:pPr>
        <w:spacing w:before="280" w:after="120"/>
      </w:pPr>
      <w:r>
        <w:rPr>
          <w:rFonts w:ascii="Calibri" w:hAnsi="Calibri" w:eastAsia="Calibri"/>
          <w:b/>
          <w:i w:val="0"/>
          <w:color w:val="008080"/>
          <w:sz w:val="32"/>
        </w:rPr>
        <w:t>Block diagram</w:t>
      </w:r>
    </w:p>
    <w:tbl>
      <w:tblPr>
        <w:tblW w:type="dxa" w:w="10440"/>
        <w:jc w:val="center"/>
        <w:tblLayout w:type="fixed"/>
        <w:tblLook w:firstColumn="1" w:firstRow="1" w:lastColumn="0" w:lastRow="0" w:noHBand="0" w:noVBand="1" w:val="04A0"/>
      </w:tblPr>
      <w:tblGrid>
        <w:gridCol w:w="10440"/>
      </w:tblGrid>
      <w:tr>
        <w:trPr>
          <w:cantSplit/>
        </w:trPr>
        <w:tc>
          <w:tcPr>
            <w:tcW w:type="dxa" w:w="10440"/>
            <w:shd w:val="clear" w:color="auto" w:fill="008080"/>
            <w:tcBorders>
              <w:top w:val="single" w:sz="12" w:space="0" w:color="FFFFFF"/>
              <w:left w:val="single" w:sz="12" w:space="0" w:color="FFFFFF"/>
              <w:bottom w:val="single" w:sz="12" w:space="0" w:color="FFFFFF"/>
              <w:right w:val="single" w:sz="12" w:space="0" w:color="FFFFFF"/>
            </w:tcBorders>
            <w:tcMar>
              <w:top w:w="50" w:type="dxa"/>
              <w:left w:w="80" w:type="dxa"/>
              <w:bottom w:w="50" w:type="dxa"/>
              <w:right w:w="80" w:type="dxa"/>
            </w:tcMar>
          </w:tcPr>
          <w:p>
            <w:pPr>
              <w:spacing w:before="20" w:after="20"/>
              <w:jc w:val="center"/>
            </w:pPr>
            <w:r>
              <w:rPr>
                <w:rFonts w:ascii="Calibri" w:hAnsi="Calibri" w:eastAsia="Calibri"/>
                <w:b/>
                <w:i w:val="0"/>
                <w:color w:val="FFFFFF"/>
                <w:sz w:val="22"/>
              </w:rPr>
              <w:t>Polynomial X                         Polynomial Y</w:t>
            </w:r>
          </w:p>
        </w:tc>
      </w:tr>
    </w:tbl>
    <w:tbl>
      <w:tblPr>
        <w:tblW w:type="dxa" w:w="10440"/>
        <w:jc w:val="center"/>
        <w:tblLayout w:type="fixed"/>
        <w:tblLook w:firstColumn="1" w:firstRow="1" w:lastColumn="0" w:lastRow="0" w:noHBand="0" w:noVBand="1" w:val="04A0"/>
      </w:tblPr>
      <w:tblGrid>
        <w:gridCol w:w="5220"/>
        <w:gridCol w:w="5220"/>
      </w:tblGrid>
      <w:tr>
        <w:tc>
          <w:tcPr>
            <w:tcW w:type="dxa" w:w="5220"/>
            <w:shd w:val="clear" w:color="auto" w:fill="008080"/>
            <w:tcBorders>
              <w:top w:val="single" w:sz="12" w:space="0" w:color="FFFFFF"/>
              <w:left w:val="single" w:sz="12" w:space="0" w:color="FFFFFF"/>
              <w:bottom w:val="single" w:sz="12" w:space="0" w:color="FFFFFF"/>
              <w:right w:val="single" w:sz="12" w:space="0" w:color="FFFFFF"/>
            </w:tcBorders>
            <w:tcMar>
              <w:top w:w="50" w:type="dxa"/>
              <w:left w:w="80" w:type="dxa"/>
              <w:bottom w:w="50" w:type="dxa"/>
              <w:right w:w="80" w:type="dxa"/>
            </w:tcMar>
          </w:tcPr>
          <w:p>
            <w:pPr>
              <w:spacing w:before="40" w:after="40"/>
              <w:jc w:val="center"/>
            </w:pPr>
            <w:r>
              <w:rPr>
                <w:rFonts w:ascii="Calibri" w:hAnsi="Calibri" w:eastAsia="Calibri"/>
                <w:b/>
                <w:i w:val="0"/>
                <w:color w:val="FFFFFF"/>
                <w:sz w:val="22"/>
              </w:rPr>
              <w:t>Forward transform of X</w:t>
            </w:r>
          </w:p>
        </w:tc>
        <w:tc>
          <w:tcPr>
            <w:tcW w:type="dxa" w:w="5220"/>
            <w:shd w:val="clear" w:color="auto" w:fill="005656"/>
            <w:tcBorders>
              <w:top w:val="single" w:sz="12" w:space="0" w:color="FFFFFF"/>
              <w:left w:val="single" w:sz="12" w:space="0" w:color="FFFFFF"/>
              <w:bottom w:val="single" w:sz="12" w:space="0" w:color="FFFFFF"/>
              <w:right w:val="single" w:sz="12" w:space="0" w:color="FFFFFF"/>
            </w:tcBorders>
            <w:tcMar>
              <w:top w:w="50" w:type="dxa"/>
              <w:left w:w="80" w:type="dxa"/>
              <w:bottom w:w="50" w:type="dxa"/>
              <w:right w:w="80" w:type="dxa"/>
            </w:tcMar>
          </w:tcPr>
          <w:p>
            <w:pPr>
              <w:spacing w:before="40" w:after="40"/>
              <w:jc w:val="center"/>
            </w:pPr>
            <w:r>
              <w:rPr>
                <w:rFonts w:ascii="Calibri" w:hAnsi="Calibri" w:eastAsia="Calibri"/>
                <w:b/>
                <w:i w:val="0"/>
                <w:color w:val="FFFFFF"/>
                <w:sz w:val="22"/>
              </w:rPr>
              <w:t>Forward transform of Y, included or left out</w:t>
            </w:r>
          </w:p>
        </w:tc>
      </w:tr>
    </w:tbl>
    <w:tbl>
      <w:tblPr>
        <w:tblW w:type="dxa" w:w="10440"/>
        <w:jc w:val="center"/>
        <w:tblLayout w:type="fixed"/>
        <w:tblLook w:firstColumn="1" w:firstRow="1" w:lastColumn="0" w:lastRow="0" w:noHBand="0" w:noVBand="1" w:val="04A0"/>
      </w:tblPr>
      <w:tblGrid>
        <w:gridCol w:w="10440"/>
      </w:tblGrid>
      <w:tr>
        <w:trPr>
          <w:cantSplit/>
        </w:trPr>
        <w:tc>
          <w:tcPr>
            <w:tcW w:type="dxa" w:w="10440"/>
            <w:shd w:val="clear" w:color="auto" w:fill="008080"/>
            <w:tcBorders>
              <w:top w:val="single" w:sz="12" w:space="0" w:color="FFFFFF"/>
              <w:left w:val="single" w:sz="12" w:space="0" w:color="FFFFFF"/>
              <w:bottom w:val="single" w:sz="12" w:space="0" w:color="FFFFFF"/>
              <w:right w:val="single" w:sz="12" w:space="0" w:color="FFFFFF"/>
            </w:tcBorders>
            <w:tcMar>
              <w:top w:w="50" w:type="dxa"/>
              <w:left w:w="80" w:type="dxa"/>
              <w:bottom w:w="50" w:type="dxa"/>
              <w:right w:w="80" w:type="dxa"/>
            </w:tcMar>
          </w:tcPr>
          <w:p>
            <w:pPr>
              <w:spacing w:before="20" w:after="20"/>
              <w:jc w:val="center"/>
            </w:pPr>
            <w:r>
              <w:rPr>
                <w:rFonts w:ascii="Calibri" w:hAnsi="Calibri" w:eastAsia="Calibri"/>
                <w:b/>
                <w:i w:val="0"/>
                <w:color w:val="FFFFFF"/>
                <w:sz w:val="22"/>
              </w:rPr>
              <w:t>Pair multiply</w:t>
            </w:r>
          </w:p>
        </w:tc>
      </w:tr>
      <w:tr>
        <w:trPr>
          <w:cantSplit/>
        </w:trPr>
        <w:tc>
          <w:tcPr>
            <w:tcW w:type="dxa" w:w="10440"/>
            <w:shd w:val="clear" w:color="auto" w:fill="005656"/>
            <w:tcBorders>
              <w:top w:val="single" w:sz="12" w:space="0" w:color="FFFFFF"/>
              <w:left w:val="single" w:sz="12" w:space="0" w:color="FFFFFF"/>
              <w:bottom w:val="single" w:sz="12" w:space="0" w:color="FFFFFF"/>
              <w:right w:val="single" w:sz="12" w:space="0" w:color="FFFFFF"/>
            </w:tcBorders>
            <w:tcMar>
              <w:top w:w="50" w:type="dxa"/>
              <w:left w:w="80" w:type="dxa"/>
              <w:bottom w:w="50" w:type="dxa"/>
              <w:right w:w="80" w:type="dxa"/>
            </w:tcMar>
          </w:tcPr>
          <w:p>
            <w:pPr>
              <w:spacing w:before="20" w:after="20"/>
              <w:jc w:val="center"/>
            </w:pPr>
            <w:r>
              <w:rPr>
                <w:rFonts w:ascii="Calibri" w:hAnsi="Calibri" w:eastAsia="Calibri"/>
                <w:b/>
                <w:i w:val="0"/>
                <w:color w:val="FFFFFF"/>
                <w:sz w:val="22"/>
              </w:rPr>
              <w:t>Inverse transform</w:t>
            </w:r>
          </w:p>
        </w:tc>
      </w:tr>
      <w:tr>
        <w:trPr>
          <w:cantSplit/>
        </w:trPr>
        <w:tc>
          <w:tcPr>
            <w:tcW w:type="dxa" w:w="10440"/>
            <w:shd w:val="clear" w:color="auto" w:fill="008080"/>
            <w:tcBorders>
              <w:top w:val="single" w:sz="12" w:space="0" w:color="FFFFFF"/>
              <w:left w:val="single" w:sz="12" w:space="0" w:color="FFFFFF"/>
              <w:bottom w:val="single" w:sz="12" w:space="0" w:color="FFFFFF"/>
              <w:right w:val="single" w:sz="12" w:space="0" w:color="FFFFFF"/>
            </w:tcBorders>
            <w:tcMar>
              <w:top w:w="50" w:type="dxa"/>
              <w:left w:w="80" w:type="dxa"/>
              <w:bottom w:w="50" w:type="dxa"/>
              <w:right w:w="80" w:type="dxa"/>
            </w:tcMar>
          </w:tcPr>
          <w:p>
            <w:pPr>
              <w:spacing w:before="20" w:after="20"/>
              <w:jc w:val="center"/>
            </w:pPr>
            <w:r>
              <w:rPr>
                <w:rFonts w:ascii="Calibri" w:hAnsi="Calibri" w:eastAsia="Calibri"/>
                <w:b/>
                <w:i w:val="0"/>
                <w:color w:val="FFFFFF"/>
                <w:sz w:val="22"/>
              </w:rPr>
              <w:t>Final scale</w:t>
            </w:r>
          </w:p>
        </w:tc>
      </w:tr>
      <w:tr>
        <w:trPr>
          <w:cantSplit/>
        </w:trPr>
        <w:tc>
          <w:tcPr>
            <w:tcW w:type="dxa" w:w="10440"/>
            <w:shd w:val="clear" w:color="auto" w:fill="005656"/>
            <w:tcBorders>
              <w:top w:val="single" w:sz="12" w:space="0" w:color="FFFFFF"/>
              <w:left w:val="single" w:sz="12" w:space="0" w:color="FFFFFF"/>
              <w:bottom w:val="single" w:sz="12" w:space="0" w:color="FFFFFF"/>
              <w:right w:val="single" w:sz="12" w:space="0" w:color="FFFFFF"/>
            </w:tcBorders>
            <w:tcMar>
              <w:top w:w="50" w:type="dxa"/>
              <w:left w:w="80" w:type="dxa"/>
              <w:bottom w:w="50" w:type="dxa"/>
              <w:right w:w="80" w:type="dxa"/>
            </w:tcMar>
          </w:tcPr>
          <w:p>
            <w:pPr>
              <w:spacing w:before="20" w:after="20"/>
              <w:jc w:val="center"/>
            </w:pPr>
            <w:r>
              <w:rPr>
                <w:rFonts w:ascii="Calibri" w:hAnsi="Calibri" w:eastAsia="Calibri"/>
                <w:b/>
                <w:i w:val="0"/>
                <w:color w:val="FFFFFF"/>
                <w:sz w:val="22"/>
              </w:rPr>
              <w:t>Product</w:t>
            </w:r>
          </w:p>
        </w:tc>
      </w:tr>
    </w:tbl>
    <w:p>
      <w:pPr>
        <w:spacing w:before="120" w:after="40"/>
        <w:jc w:val="center"/>
      </w:pPr>
      <w:r>
        <w:rPr>
          <w:rFonts w:ascii="Calibri" w:hAnsi="Calibri" w:eastAsia="Calibri"/>
          <w:b w:val="0"/>
          <w:i/>
          <w:color w:val="444444"/>
          <w:sz w:val="20"/>
        </w:rPr>
        <w:t>Figure 1. Qryptic polynomial multiplier.</w:t>
      </w:r>
    </w:p>
    <w:p>
      <w:pPr>
        <w:spacing w:before="280" w:after="120"/>
      </w:pPr>
      <w:r>
        <w:rPr>
          <w:rFonts w:ascii="Calibri" w:hAnsi="Calibri" w:eastAsia="Calibri"/>
          <w:b/>
          <w:i w:val="0"/>
          <w:color w:val="008080"/>
          <w:sz w:val="32"/>
        </w:rPr>
        <w:t>Key features</w:t>
      </w:r>
    </w:p>
    <w:p>
      <w:pPr>
        <w:spacing w:before="0" w:after="40" w:line="252" w:lineRule="auto"/>
        <w:ind w:left="288" w:hanging="216"/>
      </w:pPr>
      <w:r>
        <w:rPr>
          <w:rFonts w:ascii="Calibri" w:hAnsi="Calibri" w:eastAsia="Calibri"/>
          <w:b w:val="0"/>
          <w:i w:val="0"/>
          <w:color w:val="222222"/>
          <w:sz w:val="22"/>
        </w:rPr>
        <w:t>•  Streaming multiply of two polynomials, one coefficient beat per clock when there is no backpressure</w:t>
      </w:r>
    </w:p>
    <w:p>
      <w:pPr>
        <w:spacing w:before="0" w:after="40" w:line="252" w:lineRule="auto"/>
        <w:ind w:left="288" w:hanging="216"/>
      </w:pPr>
      <w:r>
        <w:rPr>
          <w:rFonts w:ascii="Calibri" w:hAnsi="Calibri" w:eastAsia="Calibri"/>
          <w:b w:val="0"/>
          <w:i w:val="0"/>
          <w:color w:val="222222"/>
          <w:sz w:val="22"/>
        </w:rPr>
        <w:t>•  Kyber arithmetic is the FIPS 203 transform: forward transform, pairwise multiply, inverse transform, final scale by 3303</w:t>
      </w:r>
    </w:p>
    <w:p>
      <w:pPr>
        <w:spacing w:before="0" w:after="40" w:line="252" w:lineRule="auto"/>
        <w:ind w:left="288" w:hanging="216"/>
      </w:pPr>
      <w:r>
        <w:rPr>
          <w:rFonts w:ascii="Calibri" w:hAnsi="Calibri" w:eastAsia="Calibri"/>
          <w:b w:val="0"/>
          <w:i w:val="0"/>
          <w:color w:val="222222"/>
          <w:sz w:val="22"/>
        </w:rPr>
        <w:t>•  ML-KEM-512, ML-KEM-768, and ML-KEM-1024 share degree 256 and modulus 3329, so one Kyber delivery covers all three</w:t>
      </w:r>
    </w:p>
    <w:p>
      <w:pPr>
        <w:spacing w:before="0" w:after="40" w:line="252" w:lineRule="auto"/>
        <w:ind w:left="288" w:hanging="216"/>
      </w:pPr>
      <w:r>
        <w:rPr>
          <w:rFonts w:ascii="Calibri" w:hAnsi="Calibri" w:eastAsia="Calibri"/>
          <w:b w:val="0"/>
          <w:i w:val="0"/>
          <w:color w:val="222222"/>
          <w:sz w:val="22"/>
        </w:rPr>
        <w:t>•  Degree, set per delivery: a longer polynomial adds transform stages</w:t>
      </w:r>
    </w:p>
    <w:p>
      <w:pPr>
        <w:spacing w:before="0" w:after="40" w:line="252" w:lineRule="auto"/>
        <w:ind w:left="288" w:hanging="216"/>
      </w:pPr>
      <w:r>
        <w:rPr>
          <w:rFonts w:ascii="Calibri" w:hAnsi="Calibri" w:eastAsia="Calibri"/>
          <w:b w:val="0"/>
          <w:i w:val="0"/>
          <w:color w:val="222222"/>
          <w:sz w:val="22"/>
        </w:rPr>
        <w:t>•  Modulus, set per delivery: coefficient width and the reduction follow the modulus. The Kyber build uses 12-bit coefficients</w:t>
      </w:r>
    </w:p>
    <w:p>
      <w:pPr>
        <w:spacing w:before="0" w:after="40" w:line="252" w:lineRule="auto"/>
        <w:ind w:left="288" w:hanging="216"/>
      </w:pPr>
      <w:r>
        <w:rPr>
          <w:rFonts w:ascii="Calibri" w:hAnsi="Calibri" w:eastAsia="Calibri"/>
          <w:b w:val="0"/>
          <w:i w:val="0"/>
          <w:color w:val="222222"/>
          <w:sz w:val="22"/>
        </w:rPr>
        <w:t>•  Butterfly units per NTT stage: a customer setting of 1, 2, 4, or 8. Doubling it doubles the throughput</w:t>
      </w:r>
    </w:p>
    <w:p>
      <w:pPr>
        <w:spacing w:before="0" w:after="40" w:line="252" w:lineRule="auto"/>
        <w:ind w:left="648" w:hanging="216"/>
      </w:pPr>
      <w:r>
        <w:rPr>
          <w:rFonts w:ascii="Calibri" w:hAnsi="Calibri" w:eastAsia="Calibri"/>
          <w:b w:val="0"/>
          <w:i w:val="0"/>
          <w:color w:val="222222"/>
          <w:sz w:val="22"/>
        </w:rPr>
        <w:t>–  Each beat carries 2 × (units per stage) coefficients, paired from the low half and the high half of the polynomial</w:t>
      </w:r>
    </w:p>
    <w:p>
      <w:pPr>
        <w:spacing w:before="0" w:after="40" w:line="252" w:lineRule="auto"/>
        <w:ind w:left="648" w:hanging="216"/>
      </w:pPr>
      <w:r>
        <w:rPr>
          <w:rFonts w:ascii="Calibri" w:hAnsi="Calibri" w:eastAsia="Calibri"/>
          <w:b w:val="0"/>
          <w:i w:val="0"/>
          <w:color w:val="222222"/>
          <w:sz w:val="22"/>
        </w:rPr>
        <w:t>–  One Kyber polynomial multiplication takes 128 cycles at 1 unit per stage, 64 at 2, 32 at 4, and 16 at 8. This is a very low number</w:t>
      </w:r>
    </w:p>
    <w:p>
      <w:pPr>
        <w:spacing w:before="0" w:after="40" w:line="252" w:lineRule="auto"/>
        <w:ind w:left="288" w:hanging="216"/>
      </w:pPr>
      <w:r>
        <w:rPr>
          <w:rFonts w:ascii="Calibri" w:hAnsi="Calibri" w:eastAsia="Calibri"/>
          <w:b w:val="0"/>
          <w:i w:val="0"/>
          <w:color w:val="222222"/>
          <w:sz w:val="22"/>
        </w:rPr>
        <w:t>•  Choice for the second polynomial: transform it in the hardware, or not</w:t>
      </w:r>
    </w:p>
    <w:p>
      <w:pPr>
        <w:spacing w:before="0" w:after="40" w:line="252" w:lineRule="auto"/>
        <w:ind w:left="648" w:hanging="216"/>
      </w:pPr>
      <w:r>
        <w:rPr>
          <w:rFonts w:ascii="Calibri" w:hAnsi="Calibri" w:eastAsia="Calibri"/>
          <w:b w:val="0"/>
          <w:i w:val="0"/>
          <w:color w:val="222222"/>
          <w:sz w:val="22"/>
        </w:rPr>
        <w:t>–  If the hardware does not transform it, that polynomial must arrive in step with the transformed first polynomial</w:t>
      </w:r>
    </w:p>
    <w:p>
      <w:pPr>
        <w:spacing w:before="0" w:after="40" w:line="252" w:lineRule="auto"/>
        <w:ind w:left="288" w:hanging="216"/>
      </w:pPr>
      <w:r>
        <w:rPr>
          <w:rFonts w:ascii="Calibri" w:hAnsi="Calibri" w:eastAsia="Calibri"/>
          <w:b w:val="0"/>
          <w:i w:val="0"/>
          <w:color w:val="222222"/>
          <w:sz w:val="22"/>
        </w:rPr>
        <w:t>•  No block RAM for coefficients or for a twiddle table. Twiddle factors are computed as the data moves</w:t>
      </w:r>
    </w:p>
    <w:p>
      <w:pPr>
        <w:spacing w:before="0" w:after="40" w:line="252" w:lineRule="auto"/>
        <w:ind w:left="288" w:hanging="216"/>
      </w:pPr>
      <w:r>
        <w:rPr>
          <w:rFonts w:ascii="Calibri" w:hAnsi="Calibri" w:eastAsia="Calibri"/>
          <w:b w:val="0"/>
          <w:i w:val="0"/>
          <w:color w:val="222222"/>
          <w:sz w:val="22"/>
        </w:rPr>
        <w:t>•  Each stage starts when its operands are ready and stores only that stage’s alignment data, in registers and distributed memory</w:t>
      </w:r>
    </w:p>
    <w:p>
      <w:pPr>
        <w:spacing w:before="0" w:after="40" w:line="252" w:lineRule="auto"/>
        <w:ind w:left="288" w:hanging="216"/>
      </w:pPr>
      <w:r>
        <w:rPr>
          <w:rFonts w:ascii="Calibri" w:hAnsi="Calibri" w:eastAsia="Calibri"/>
          <w:b w:val="0"/>
          <w:i w:val="0"/>
          <w:color w:val="222222"/>
          <w:sz w:val="22"/>
        </w:rPr>
        <w:t>•  No separate bit-reversal step</w:t>
      </w:r>
    </w:p>
    <w:p>
      <w:pPr>
        <w:spacing w:before="0" w:after="40" w:line="252" w:lineRule="auto"/>
        <w:ind w:left="288" w:hanging="216"/>
      </w:pPr>
      <w:r>
        <w:rPr>
          <w:rFonts w:ascii="Calibri" w:hAnsi="Calibri" w:eastAsia="Calibri"/>
          <w:b w:val="0"/>
          <w:i w:val="0"/>
          <w:color w:val="222222"/>
          <w:sz w:val="22"/>
        </w:rPr>
        <w:t>•  Interface</w:t>
      </w:r>
    </w:p>
    <w:p>
      <w:pPr>
        <w:spacing w:before="0" w:after="40" w:line="252" w:lineRule="auto"/>
        <w:ind w:left="648" w:hanging="216"/>
      </w:pPr>
      <w:r>
        <w:rPr>
          <w:rFonts w:ascii="Calibri" w:hAnsi="Calibri" w:eastAsia="Calibri"/>
          <w:b w:val="0"/>
          <w:i w:val="0"/>
          <w:color w:val="222222"/>
          <w:sz w:val="22"/>
        </w:rPr>
        <w:t>–  Clock</w:t>
      </w:r>
    </w:p>
    <w:p>
      <w:pPr>
        <w:spacing w:before="0" w:after="40" w:line="252" w:lineRule="auto"/>
        <w:ind w:left="648" w:hanging="216"/>
      </w:pPr>
      <w:r>
        <w:rPr>
          <w:rFonts w:ascii="Calibri" w:hAnsi="Calibri" w:eastAsia="Calibri"/>
          <w:b w:val="0"/>
          <w:i w:val="0"/>
          <w:color w:val="222222"/>
          <w:sz w:val="22"/>
        </w:rPr>
        <w:t>–  Reset, active low</w:t>
      </w:r>
    </w:p>
    <w:p>
      <w:pPr>
        <w:spacing w:before="0" w:after="40" w:line="252" w:lineRule="auto"/>
        <w:ind w:left="648" w:hanging="216"/>
      </w:pPr>
      <w:r>
        <w:rPr>
          <w:rFonts w:ascii="Calibri" w:hAnsi="Calibri" w:eastAsia="Calibri"/>
          <w:b w:val="0"/>
          <w:i w:val="0"/>
          <w:color w:val="222222"/>
          <w:sz w:val="22"/>
        </w:rPr>
        <w:t>–  Two input polynomials and one output polynomial, each as coefficient beats marked valid or not</w:t>
      </w:r>
    </w:p>
    <w:p>
      <w:pPr>
        <w:spacing w:before="0" w:after="40" w:line="252" w:lineRule="auto"/>
        <w:ind w:left="648" w:hanging="216"/>
      </w:pPr>
      <w:r>
        <w:rPr>
          <w:rFonts w:ascii="Calibri" w:hAnsi="Calibri" w:eastAsia="Calibri"/>
          <w:b w:val="0"/>
          <w:i w:val="0"/>
          <w:color w:val="222222"/>
          <w:sz w:val="22"/>
        </w:rPr>
        <w:t>–  Backpressure: if the consumer does not accept the current output beat, that beat does not change and both inputs are held</w:t>
      </w:r>
    </w:p>
    <w:p>
      <w:r>
        <w:br w:type="page"/>
      </w:r>
    </w:p>
    <w:p>
      <w:pPr>
        <w:spacing w:before="0" w:after="40"/>
        <w:ind w:left="288" w:hanging="216"/>
      </w:pPr>
      <w:r>
        <w:rPr>
          <w:rFonts w:ascii="Calibri" w:hAnsi="Calibri" w:eastAsia="Calibri"/>
          <w:b w:val="0"/>
          <w:i w:val="0"/>
          <w:color w:val="222222"/>
          <w:sz w:val="22"/>
        </w:rPr>
        <w:t>•  Measured Kyber results, degree 256, modulus 3329. The frequencies in these tables are for Artix-7 xc7a100tiftg256-1L, a low-end FPGA. A better FPGA runs higher. On Virtex-7 xc7vx485tffg1157-1 the clock reached 206 MHz. Multiplications per second are the clock divided by beats per polynomial, with no backpressure.</w:t>
      </w:r>
    </w:p>
    <w:p>
      <w:pPr>
        <w:spacing w:before="80" w:after="80"/>
        <w:ind w:left="72"/>
      </w:pPr>
      <w:r>
        <w:rPr>
          <w:rFonts w:ascii="Calibri" w:hAnsi="Calibri" w:eastAsia="Calibri"/>
          <w:b/>
          <w:i w:val="0"/>
          <w:color w:val="008080"/>
          <w:sz w:val="22"/>
        </w:rPr>
        <w:t>Second polynomial not transformed in the hardware</w:t>
      </w:r>
    </w:p>
    <w:tbl>
      <w:tblPr>
        <w:tblW w:type="dxa" w:w="10440"/>
        <w:jc w:val="center"/>
        <w:tblLayout w:type="fixed"/>
        <w:tblLook w:firstColumn="1" w:firstRow="1" w:lastColumn="0" w:lastRow="0" w:noHBand="0" w:noVBand="1" w:val="04A0"/>
      </w:tblPr>
      <w:tblGrid>
        <w:gridCol w:w="1450"/>
        <w:gridCol w:w="1200"/>
        <w:gridCol w:w="1150"/>
        <w:gridCol w:w="1300"/>
        <w:gridCol w:w="1200"/>
        <w:gridCol w:w="900"/>
        <w:gridCol w:w="1300"/>
        <w:gridCol w:w="1940"/>
      </w:tblGrid>
      <w:tr>
        <w:trPr>
          <w:tblHeader w:val="true"/>
          <w:cantSplit/>
        </w:trPr>
        <w:tc>
          <w:tcPr>
            <w:tcW w:type="dxa" w:w="145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Units per stage</w:t>
            </w:r>
          </w:p>
        </w:tc>
        <w:tc>
          <w:tcPr>
            <w:tcW w:type="dxa" w:w="120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NTT cycles</w:t>
            </w:r>
          </w:p>
        </w:tc>
        <w:tc>
          <w:tcPr>
            <w:tcW w:type="dxa" w:w="115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LUT</w:t>
            </w:r>
          </w:p>
        </w:tc>
        <w:tc>
          <w:tcPr>
            <w:tcW w:type="dxa" w:w="130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Flip-flops</w:t>
            </w:r>
          </w:p>
        </w:tc>
        <w:tc>
          <w:tcPr>
            <w:tcW w:type="dxa" w:w="120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LUTRAM</w:t>
            </w:r>
          </w:p>
        </w:tc>
        <w:tc>
          <w:tcPr>
            <w:tcW w:type="dxa" w:w="90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DSP</w:t>
            </w:r>
          </w:p>
        </w:tc>
        <w:tc>
          <w:tcPr>
            <w:tcW w:type="dxa" w:w="130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MHz</w:t>
            </w:r>
          </w:p>
        </w:tc>
        <w:tc>
          <w:tcPr>
            <w:tcW w:type="dxa" w:w="194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Million/s</w:t>
            </w:r>
          </w:p>
        </w:tc>
      </w:tr>
      <w:tr>
        <w:trPr>
          <w:cantSplit/>
        </w:trPr>
        <w:tc>
          <w:tcPr>
            <w:tcW w:type="dxa" w:w="145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w:t>
            </w:r>
          </w:p>
        </w:tc>
        <w:tc>
          <w:tcPr>
            <w:tcW w:type="dxa" w:w="12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128</w:t>
            </w:r>
          </w:p>
        </w:tc>
        <w:tc>
          <w:tcPr>
            <w:tcW w:type="dxa" w:w="115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4,482</w:t>
            </w:r>
          </w:p>
        </w:tc>
        <w:tc>
          <w:tcPr>
            <w:tcW w:type="dxa" w:w="13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4,139</w:t>
            </w:r>
          </w:p>
        </w:tc>
        <w:tc>
          <w:tcPr>
            <w:tcW w:type="dxa" w:w="12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567</w:t>
            </w:r>
          </w:p>
        </w:tc>
        <w:tc>
          <w:tcPr>
            <w:tcW w:type="dxa" w:w="9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22</w:t>
            </w:r>
          </w:p>
        </w:tc>
        <w:tc>
          <w:tcPr>
            <w:tcW w:type="dxa" w:w="13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155</w:t>
            </w:r>
          </w:p>
        </w:tc>
        <w:tc>
          <w:tcPr>
            <w:tcW w:type="dxa" w:w="194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1.21</w:t>
            </w:r>
          </w:p>
        </w:tc>
      </w:tr>
      <w:tr>
        <w:trPr>
          <w:cantSplit/>
        </w:trPr>
        <w:tc>
          <w:tcPr>
            <w:tcW w:type="dxa" w:w="145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2</w:t>
            </w:r>
          </w:p>
        </w:tc>
        <w:tc>
          <w:tcPr>
            <w:tcW w:type="dxa" w:w="12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64</w:t>
            </w:r>
          </w:p>
        </w:tc>
        <w:tc>
          <w:tcPr>
            <w:tcW w:type="dxa" w:w="115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7,210</w:t>
            </w:r>
          </w:p>
        </w:tc>
        <w:tc>
          <w:tcPr>
            <w:tcW w:type="dxa" w:w="13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6,806</w:t>
            </w:r>
          </w:p>
        </w:tc>
        <w:tc>
          <w:tcPr>
            <w:tcW w:type="dxa" w:w="12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916</w:t>
            </w:r>
          </w:p>
        </w:tc>
        <w:tc>
          <w:tcPr>
            <w:tcW w:type="dxa" w:w="9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36</w:t>
            </w:r>
          </w:p>
        </w:tc>
        <w:tc>
          <w:tcPr>
            <w:tcW w:type="dxa" w:w="13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152</w:t>
            </w:r>
          </w:p>
        </w:tc>
        <w:tc>
          <w:tcPr>
            <w:tcW w:type="dxa" w:w="194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2.38</w:t>
            </w:r>
          </w:p>
        </w:tc>
      </w:tr>
      <w:tr>
        <w:trPr>
          <w:cantSplit/>
        </w:trPr>
        <w:tc>
          <w:tcPr>
            <w:tcW w:type="dxa" w:w="145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4</w:t>
            </w:r>
          </w:p>
        </w:tc>
        <w:tc>
          <w:tcPr>
            <w:tcW w:type="dxa" w:w="12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32</w:t>
            </w:r>
          </w:p>
        </w:tc>
        <w:tc>
          <w:tcPr>
            <w:tcW w:type="dxa" w:w="115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13,320</w:t>
            </w:r>
          </w:p>
        </w:tc>
        <w:tc>
          <w:tcPr>
            <w:tcW w:type="dxa" w:w="13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12,668</w:t>
            </w:r>
          </w:p>
        </w:tc>
        <w:tc>
          <w:tcPr>
            <w:tcW w:type="dxa" w:w="12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1,613</w:t>
            </w:r>
          </w:p>
        </w:tc>
        <w:tc>
          <w:tcPr>
            <w:tcW w:type="dxa" w:w="9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72</w:t>
            </w:r>
          </w:p>
        </w:tc>
        <w:tc>
          <w:tcPr>
            <w:tcW w:type="dxa" w:w="13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148</w:t>
            </w:r>
          </w:p>
        </w:tc>
        <w:tc>
          <w:tcPr>
            <w:tcW w:type="dxa" w:w="194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4.63</w:t>
            </w:r>
          </w:p>
        </w:tc>
      </w:tr>
      <w:tr>
        <w:trPr>
          <w:cantSplit/>
        </w:trPr>
        <w:tc>
          <w:tcPr>
            <w:tcW w:type="dxa" w:w="145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8</w:t>
            </w:r>
          </w:p>
        </w:tc>
        <w:tc>
          <w:tcPr>
            <w:tcW w:type="dxa" w:w="12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16</w:t>
            </w:r>
          </w:p>
        </w:tc>
        <w:tc>
          <w:tcPr>
            <w:tcW w:type="dxa" w:w="115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25,196</w:t>
            </w:r>
          </w:p>
        </w:tc>
        <w:tc>
          <w:tcPr>
            <w:tcW w:type="dxa" w:w="13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24,142</w:t>
            </w:r>
          </w:p>
        </w:tc>
        <w:tc>
          <w:tcPr>
            <w:tcW w:type="dxa" w:w="12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2,827</w:t>
            </w:r>
          </w:p>
        </w:tc>
        <w:tc>
          <w:tcPr>
            <w:tcW w:type="dxa" w:w="9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144</w:t>
            </w:r>
          </w:p>
        </w:tc>
        <w:tc>
          <w:tcPr>
            <w:tcW w:type="dxa" w:w="13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143</w:t>
            </w:r>
          </w:p>
        </w:tc>
        <w:tc>
          <w:tcPr>
            <w:tcW w:type="dxa" w:w="194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8.93</w:t>
            </w:r>
          </w:p>
        </w:tc>
      </w:tr>
    </w:tbl>
    <w:p>
      <w:pPr>
        <w:spacing w:before="80" w:after="80"/>
        <w:ind w:left="72"/>
      </w:pPr>
      <w:r>
        <w:rPr>
          <w:rFonts w:ascii="Calibri" w:hAnsi="Calibri" w:eastAsia="Calibri"/>
          <w:b/>
          <w:i w:val="0"/>
          <w:color w:val="008080"/>
          <w:sz w:val="22"/>
        </w:rPr>
        <w:t>Second polynomial transformed in the hardware</w:t>
      </w:r>
    </w:p>
    <w:tbl>
      <w:tblPr>
        <w:tblW w:type="dxa" w:w="10440"/>
        <w:jc w:val="center"/>
        <w:tblLayout w:type="fixed"/>
        <w:tblLook w:firstColumn="1" w:firstRow="1" w:lastColumn="0" w:lastRow="0" w:noHBand="0" w:noVBand="1" w:val="04A0"/>
      </w:tblPr>
      <w:tblGrid>
        <w:gridCol w:w="1450"/>
        <w:gridCol w:w="1200"/>
        <w:gridCol w:w="1150"/>
        <w:gridCol w:w="1300"/>
        <w:gridCol w:w="1200"/>
        <w:gridCol w:w="900"/>
        <w:gridCol w:w="1300"/>
        <w:gridCol w:w="1940"/>
      </w:tblGrid>
      <w:tr>
        <w:trPr>
          <w:tblHeader w:val="true"/>
          <w:cantSplit/>
        </w:trPr>
        <w:tc>
          <w:tcPr>
            <w:tcW w:type="dxa" w:w="145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Units per stage</w:t>
            </w:r>
          </w:p>
        </w:tc>
        <w:tc>
          <w:tcPr>
            <w:tcW w:type="dxa" w:w="120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NTT cycles</w:t>
            </w:r>
          </w:p>
        </w:tc>
        <w:tc>
          <w:tcPr>
            <w:tcW w:type="dxa" w:w="115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LUT</w:t>
            </w:r>
          </w:p>
        </w:tc>
        <w:tc>
          <w:tcPr>
            <w:tcW w:type="dxa" w:w="130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Flip-flops</w:t>
            </w:r>
          </w:p>
        </w:tc>
        <w:tc>
          <w:tcPr>
            <w:tcW w:type="dxa" w:w="120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LUTRAM</w:t>
            </w:r>
          </w:p>
        </w:tc>
        <w:tc>
          <w:tcPr>
            <w:tcW w:type="dxa" w:w="90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DSP</w:t>
            </w:r>
          </w:p>
        </w:tc>
        <w:tc>
          <w:tcPr>
            <w:tcW w:type="dxa" w:w="130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MHz</w:t>
            </w:r>
          </w:p>
        </w:tc>
        <w:tc>
          <w:tcPr>
            <w:tcW w:type="dxa" w:w="1940"/>
            <w:shd w:val="clear" w:color="auto" w:fill="008080"/>
            <w:tcBorders>
              <w:top w:val="single" w:sz="8" w:space="0" w:color="FFFFFF"/>
              <w:left w:val="single" w:sz="8" w:space="0" w:color="FFFFFF"/>
              <w:bottom w:val="single" w:sz="8" w:space="0" w:color="FFFFFF"/>
              <w:right w:val="single" w:sz="8" w:space="0" w:color="FFFFFF"/>
            </w:tcBorders>
            <w:tcMar>
              <w:top w:w="40" w:type="dxa"/>
              <w:left w:w="40" w:type="dxa"/>
              <w:bottom w:w="40" w:type="dxa"/>
              <w:right w:w="40" w:type="dxa"/>
            </w:tcMar>
          </w:tcPr>
          <w:p>
            <w:pPr>
              <w:spacing w:before="0" w:after="0"/>
              <w:jc w:val="center"/>
            </w:pPr>
            <w:r>
              <w:rPr>
                <w:rFonts w:ascii="Calibri" w:hAnsi="Calibri" w:eastAsia="Calibri"/>
                <w:b/>
                <w:i w:val="0"/>
                <w:color w:val="FFFFFF"/>
                <w:sz w:val="18"/>
              </w:rPr>
              <w:t>Million/s</w:t>
            </w:r>
          </w:p>
        </w:tc>
      </w:tr>
      <w:tr>
        <w:trPr>
          <w:cantSplit/>
        </w:trPr>
        <w:tc>
          <w:tcPr>
            <w:tcW w:type="dxa" w:w="145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w:t>
            </w:r>
          </w:p>
        </w:tc>
        <w:tc>
          <w:tcPr>
            <w:tcW w:type="dxa" w:w="12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128</w:t>
            </w:r>
          </w:p>
        </w:tc>
        <w:tc>
          <w:tcPr>
            <w:tcW w:type="dxa" w:w="115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6,105</w:t>
            </w:r>
          </w:p>
        </w:tc>
        <w:tc>
          <w:tcPr>
            <w:tcW w:type="dxa" w:w="13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5,789</w:t>
            </w:r>
          </w:p>
        </w:tc>
        <w:tc>
          <w:tcPr>
            <w:tcW w:type="dxa" w:w="12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802</w:t>
            </w:r>
          </w:p>
        </w:tc>
        <w:tc>
          <w:tcPr>
            <w:tcW w:type="dxa" w:w="9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29</w:t>
            </w:r>
          </w:p>
        </w:tc>
        <w:tc>
          <w:tcPr>
            <w:tcW w:type="dxa" w:w="13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152</w:t>
            </w:r>
          </w:p>
        </w:tc>
        <w:tc>
          <w:tcPr>
            <w:tcW w:type="dxa" w:w="194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1.18</w:t>
            </w:r>
          </w:p>
        </w:tc>
      </w:tr>
      <w:tr>
        <w:trPr>
          <w:cantSplit/>
        </w:trPr>
        <w:tc>
          <w:tcPr>
            <w:tcW w:type="dxa" w:w="145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2</w:t>
            </w:r>
          </w:p>
        </w:tc>
        <w:tc>
          <w:tcPr>
            <w:tcW w:type="dxa" w:w="12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64</w:t>
            </w:r>
          </w:p>
        </w:tc>
        <w:tc>
          <w:tcPr>
            <w:tcW w:type="dxa" w:w="115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9,966</w:t>
            </w:r>
          </w:p>
        </w:tc>
        <w:tc>
          <w:tcPr>
            <w:tcW w:type="dxa" w:w="13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9,764</w:t>
            </w:r>
          </w:p>
        </w:tc>
        <w:tc>
          <w:tcPr>
            <w:tcW w:type="dxa" w:w="12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1,283</w:t>
            </w:r>
          </w:p>
        </w:tc>
        <w:tc>
          <w:tcPr>
            <w:tcW w:type="dxa" w:w="9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50</w:t>
            </w:r>
          </w:p>
        </w:tc>
        <w:tc>
          <w:tcPr>
            <w:tcW w:type="dxa" w:w="13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150</w:t>
            </w:r>
          </w:p>
        </w:tc>
        <w:tc>
          <w:tcPr>
            <w:tcW w:type="dxa" w:w="194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2.35</w:t>
            </w:r>
          </w:p>
        </w:tc>
      </w:tr>
      <w:tr>
        <w:trPr>
          <w:cantSplit/>
        </w:trPr>
        <w:tc>
          <w:tcPr>
            <w:tcW w:type="dxa" w:w="145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4</w:t>
            </w:r>
          </w:p>
        </w:tc>
        <w:tc>
          <w:tcPr>
            <w:tcW w:type="dxa" w:w="12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32</w:t>
            </w:r>
          </w:p>
        </w:tc>
        <w:tc>
          <w:tcPr>
            <w:tcW w:type="dxa" w:w="115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18,334</w:t>
            </w:r>
          </w:p>
        </w:tc>
        <w:tc>
          <w:tcPr>
            <w:tcW w:type="dxa" w:w="13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18,093</w:t>
            </w:r>
          </w:p>
        </w:tc>
        <w:tc>
          <w:tcPr>
            <w:tcW w:type="dxa" w:w="12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2,255</w:t>
            </w:r>
          </w:p>
        </w:tc>
        <w:tc>
          <w:tcPr>
            <w:tcW w:type="dxa" w:w="9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100</w:t>
            </w:r>
          </w:p>
        </w:tc>
        <w:tc>
          <w:tcPr>
            <w:tcW w:type="dxa" w:w="130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145</w:t>
            </w:r>
          </w:p>
        </w:tc>
        <w:tc>
          <w:tcPr>
            <w:tcW w:type="dxa" w:w="1940"/>
            <w:shd w:val="clear" w:color="auto" w:fill="F2F9F9"/>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4.54</w:t>
            </w:r>
          </w:p>
        </w:tc>
      </w:tr>
      <w:tr>
        <w:trPr>
          <w:cantSplit/>
        </w:trPr>
        <w:tc>
          <w:tcPr>
            <w:tcW w:type="dxa" w:w="145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8</w:t>
            </w:r>
          </w:p>
        </w:tc>
        <w:tc>
          <w:tcPr>
            <w:tcW w:type="dxa" w:w="12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16</w:t>
            </w:r>
          </w:p>
        </w:tc>
        <w:tc>
          <w:tcPr>
            <w:tcW w:type="dxa" w:w="115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34,490</w:t>
            </w:r>
          </w:p>
        </w:tc>
        <w:tc>
          <w:tcPr>
            <w:tcW w:type="dxa" w:w="13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34,434</w:t>
            </w:r>
          </w:p>
        </w:tc>
        <w:tc>
          <w:tcPr>
            <w:tcW w:type="dxa" w:w="12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3,887</w:t>
            </w:r>
          </w:p>
        </w:tc>
        <w:tc>
          <w:tcPr>
            <w:tcW w:type="dxa" w:w="9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200</w:t>
            </w:r>
          </w:p>
        </w:tc>
        <w:tc>
          <w:tcPr>
            <w:tcW w:type="dxa" w:w="130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142</w:t>
            </w:r>
          </w:p>
        </w:tc>
        <w:tc>
          <w:tcPr>
            <w:tcW w:type="dxa" w:w="1940"/>
            <w:shd w:val="clear" w:color="auto" w:fill="FFFFFF"/>
            <w:tcBorders>
              <w:top w:val="single" w:sz="4" w:space="0" w:color="C4E1E1"/>
              <w:left w:val="single" w:sz="4" w:space="0" w:color="C4E1E1"/>
              <w:bottom w:val="single" w:sz="4" w:space="0" w:color="C4E1E1"/>
              <w:right w:val="single" w:sz="4" w:space="0" w:color="C4E1E1"/>
            </w:tcBorders>
            <w:tcMar>
              <w:top w:w="36" w:type="dxa"/>
              <w:left w:w="40" w:type="dxa"/>
              <w:bottom w:w="36" w:type="dxa"/>
              <w:right w:w="40" w:type="dxa"/>
            </w:tcMar>
          </w:tcPr>
          <w:p>
            <w:pPr>
              <w:spacing w:before="0" w:after="0"/>
              <w:jc w:val="center"/>
            </w:pPr>
            <w:r>
              <w:rPr>
                <w:rFonts w:ascii="Calibri" w:hAnsi="Calibri" w:eastAsia="Calibri"/>
                <w:b w:val="0"/>
                <w:i w:val="0"/>
                <w:color w:val="222222"/>
                <w:sz w:val="18"/>
              </w:rPr>
              <w:t>8.85</w:t>
            </w:r>
          </w:p>
        </w:tc>
      </w:tr>
    </w:tbl>
    <w:p>
      <w:pPr>
        <w:spacing w:before="40" w:after="40"/>
      </w:pPr>
    </w:p>
    <w:p>
      <w:pPr>
        <w:spacing w:before="0" w:after="0" w:line="252" w:lineRule="auto"/>
        <w:ind w:left="288" w:hanging="216"/>
      </w:pPr>
      <w:r>
        <w:rPr>
          <w:rFonts w:ascii="Calibri" w:hAnsi="Calibri" w:eastAsia="Calibri"/>
          <w:b w:val="0"/>
          <w:i w:val="0"/>
          <w:color w:val="222222"/>
          <w:sz w:val="22"/>
        </w:rPr>
        <w:t>•  Verification of the Kyber configuration</w:t>
      </w:r>
    </w:p>
    <w:p>
      <w:pPr>
        <w:spacing w:before="0" w:after="0" w:line="252" w:lineRule="auto"/>
        <w:ind w:left="648" w:hanging="216"/>
      </w:pPr>
      <w:r>
        <w:rPr>
          <w:rFonts w:ascii="Calibri" w:hAnsi="Calibri" w:eastAsia="Calibri"/>
          <w:b w:val="0"/>
          <w:i w:val="0"/>
          <w:color w:val="222222"/>
          <w:sz w:val="22"/>
        </w:rPr>
        <w:t>–  Products compared with an independent schoolbook multiplier in Z₃₃₂₉[x] / (x²⁵⁶ + 1), coefficients in order</w:t>
      </w:r>
    </w:p>
    <w:p>
      <w:pPr>
        <w:spacing w:before="0" w:after="0" w:line="252" w:lineRule="auto"/>
        <w:ind w:left="648" w:hanging="216"/>
      </w:pPr>
      <w:r>
        <w:rPr>
          <w:rFonts w:ascii="Calibri" w:hAnsi="Calibri" w:eastAsia="Calibri"/>
          <w:b w:val="0"/>
          <w:i w:val="0"/>
          <w:color w:val="222222"/>
          <w:sz w:val="22"/>
        </w:rPr>
        <w:t>–  Random polynomials, including back-to-back pairs and gaps between polynomials</w:t>
      </w:r>
    </w:p>
    <w:p>
      <w:pPr>
        <w:spacing w:before="0" w:after="0" w:line="252" w:lineRule="auto"/>
        <w:ind w:left="648" w:hanging="216"/>
      </w:pPr>
      <w:r>
        <w:rPr>
          <w:rFonts w:ascii="Calibri" w:hAnsi="Calibri" w:eastAsia="Calibri"/>
          <w:b w:val="0"/>
          <w:i w:val="0"/>
          <w:color w:val="222222"/>
          <w:sz w:val="22"/>
        </w:rPr>
        <w:t>–  A long run of random pairs, with idle time between them</w:t>
      </w:r>
    </w:p>
    <w:p>
      <w:pPr>
        <w:spacing w:before="0" w:after="0" w:line="252" w:lineRule="auto"/>
        <w:ind w:left="648" w:hanging="216"/>
      </w:pPr>
      <w:r>
        <w:rPr>
          <w:rFonts w:ascii="Calibri" w:hAnsi="Calibri" w:eastAsia="Calibri"/>
          <w:b w:val="0"/>
          <w:i w:val="0"/>
          <w:color w:val="222222"/>
          <w:sz w:val="22"/>
        </w:rPr>
        <w:t>–  Zero times zero, and a zero polynomial on either side</w:t>
      </w:r>
    </w:p>
    <w:p>
      <w:pPr>
        <w:spacing w:before="0" w:after="0" w:line="252" w:lineRule="auto"/>
        <w:ind w:left="648" w:hanging="216"/>
      </w:pPr>
      <w:r>
        <w:rPr>
          <w:rFonts w:ascii="Calibri" w:hAnsi="Calibri" w:eastAsia="Calibri"/>
          <w:b w:val="0"/>
          <w:i w:val="0"/>
          <w:color w:val="222222"/>
          <w:sz w:val="22"/>
        </w:rPr>
        <w:t>–  Multiply by the constant polynomial 1</w:t>
      </w:r>
    </w:p>
    <w:p>
      <w:pPr>
        <w:spacing w:before="0" w:after="0" w:line="252" w:lineRule="auto"/>
        <w:ind w:left="648" w:hanging="216"/>
      </w:pPr>
      <w:r>
        <w:rPr>
          <w:rFonts w:ascii="Calibri" w:hAnsi="Calibri" w:eastAsia="Calibri"/>
          <w:b w:val="0"/>
          <w:i w:val="0"/>
          <w:color w:val="222222"/>
          <w:sz w:val="22"/>
        </w:rPr>
        <w:t>–  Every coefficient at modulus minus one</w:t>
      </w:r>
    </w:p>
    <w:p>
      <w:pPr>
        <w:spacing w:before="0" w:after="0" w:line="252" w:lineRule="auto"/>
        <w:ind w:left="648" w:hanging="216"/>
      </w:pPr>
      <w:r>
        <w:rPr>
          <w:rFonts w:ascii="Calibri" w:hAnsi="Calibri" w:eastAsia="Calibri"/>
          <w:b w:val="0"/>
          <w:i w:val="0"/>
          <w:color w:val="222222"/>
          <w:sz w:val="22"/>
        </w:rPr>
        <w:t>–  A single nonzero coefficient, including the product that wraps through x²⁵⁶ = −1</w:t>
      </w:r>
    </w:p>
    <w:p>
      <w:pPr>
        <w:spacing w:before="0" w:after="0" w:line="252" w:lineRule="auto"/>
        <w:ind w:left="648" w:hanging="216"/>
      </w:pPr>
      <w:r>
        <w:rPr>
          <w:rFonts w:ascii="Calibri" w:hAnsi="Calibri" w:eastAsia="Calibri"/>
          <w:b w:val="0"/>
          <w:i w:val="0"/>
          <w:color w:val="222222"/>
          <w:sz w:val="22"/>
        </w:rPr>
        <w:t>–  The same pair multiplied twice</w:t>
      </w:r>
    </w:p>
    <w:p>
      <w:pPr>
        <w:spacing w:before="0" w:after="0" w:line="252" w:lineRule="auto"/>
        <w:ind w:left="648" w:hanging="216"/>
      </w:pPr>
      <w:r>
        <w:rPr>
          <w:rFonts w:ascii="Calibri" w:hAnsi="Calibri" w:eastAsia="Calibri"/>
          <w:b w:val="0"/>
          <w:i w:val="0"/>
          <w:color w:val="222222"/>
          <w:sz w:val="22"/>
        </w:rPr>
        <w:t>–  Both orders of the two polynomials</w:t>
      </w:r>
    </w:p>
    <w:p>
      <w:pPr>
        <w:spacing w:before="0" w:after="0" w:line="252" w:lineRule="auto"/>
        <w:ind w:left="648" w:hanging="216"/>
      </w:pPr>
      <w:r>
        <w:rPr>
          <w:rFonts w:ascii="Calibri" w:hAnsi="Calibri" w:eastAsia="Calibri"/>
          <w:b w:val="0"/>
          <w:i w:val="0"/>
          <w:color w:val="222222"/>
          <w:sz w:val="22"/>
        </w:rPr>
        <w:t>–  No backpressure, with the producer allowed to send every beat</w:t>
      </w:r>
    </w:p>
    <w:p>
      <w:pPr>
        <w:spacing w:before="0" w:after="0" w:line="252" w:lineRule="auto"/>
        <w:ind w:left="648" w:hanging="216"/>
      </w:pPr>
      <w:r>
        <w:rPr>
          <w:rFonts w:ascii="Calibri" w:hAnsi="Calibri" w:eastAsia="Calibri"/>
          <w:b w:val="0"/>
          <w:i w:val="0"/>
          <w:color w:val="222222"/>
          <w:sz w:val="22"/>
        </w:rPr>
        <w:t>–  Random backpressure</w:t>
      </w:r>
    </w:p>
    <w:p>
      <w:pPr>
        <w:spacing w:before="0" w:after="0" w:line="252" w:lineRule="auto"/>
        <w:ind w:left="648" w:hanging="216"/>
      </w:pPr>
      <w:r>
        <w:rPr>
          <w:rFonts w:ascii="Calibri" w:hAnsi="Calibri" w:eastAsia="Calibri"/>
          <w:b w:val="0"/>
          <w:i w:val="0"/>
          <w:color w:val="222222"/>
          <w:sz w:val="22"/>
        </w:rPr>
        <w:t>–  Backpressure on the first output beat, on the beat that finishes a polynomial, and a beat held for many cycles</w:t>
      </w:r>
    </w:p>
    <w:p>
      <w:pPr>
        <w:spacing w:before="0" w:after="0" w:line="252" w:lineRule="auto"/>
        <w:ind w:left="648" w:hanging="216"/>
      </w:pPr>
      <w:r>
        <w:rPr>
          <w:rFonts w:ascii="Calibri" w:hAnsi="Calibri" w:eastAsia="Calibri"/>
          <w:b w:val="0"/>
          <w:i w:val="0"/>
          <w:color w:val="222222"/>
          <w:sz w:val="22"/>
        </w:rPr>
        <w:t>–  Idle cycles only between polynomials</w:t>
      </w:r>
    </w:p>
    <w:p>
      <w:pPr>
        <w:spacing w:before="0" w:after="0" w:line="252" w:lineRule="auto"/>
        <w:ind w:left="648" w:hanging="216"/>
      </w:pPr>
      <w:r>
        <w:rPr>
          <w:rFonts w:ascii="Calibri" w:hAnsi="Calibri" w:eastAsia="Calibri"/>
          <w:b w:val="0"/>
          <w:i w:val="0"/>
          <w:color w:val="222222"/>
          <w:sz w:val="22"/>
        </w:rPr>
        <w:t>–  Reset while idle, reset in the middle of a polynomial, and reset while an output beat is held</w:t>
      </w:r>
    </w:p>
    <w:p>
      <w:pPr>
        <w:spacing w:before="0" w:after="0" w:line="252" w:lineRule="auto"/>
        <w:ind w:left="648" w:hanging="216"/>
      </w:pPr>
      <w:r>
        <w:rPr>
          <w:rFonts w:ascii="Calibri" w:hAnsi="Calibri" w:eastAsia="Calibri"/>
          <w:b w:val="0"/>
          <w:i w:val="0"/>
          <w:color w:val="222222"/>
          <w:sz w:val="22"/>
        </w:rPr>
        <w:t>–  Repeated at 1, 2, 4, and 8 butterfly units per stage, and for both choices of the second polynomial</w:t>
      </w:r>
    </w:p>
    <w:p>
      <w:pPr>
        <w:spacing w:before="0" w:after="0" w:line="252" w:lineRule="auto"/>
        <w:ind w:left="648" w:hanging="216"/>
      </w:pPr>
      <w:r>
        <w:rPr>
          <w:rFonts w:ascii="Calibri" w:hAnsi="Calibri" w:eastAsia="Calibri"/>
          <w:b w:val="0"/>
          <w:i w:val="0"/>
          <w:color w:val="222222"/>
          <w:sz w:val="22"/>
        </w:rPr>
        <w:t>–  Code coverage was collected</w:t>
      </w:r>
    </w:p>
    <w:p>
      <w:pPr>
        <w:spacing w:before="280" w:after="120"/>
      </w:pPr>
      <w:r>
        <w:rPr>
          <w:rFonts w:ascii="Calibri" w:hAnsi="Calibri" w:eastAsia="Calibri"/>
          <w:b/>
          <w:i w:val="0"/>
          <w:color w:val="008080"/>
          <w:sz w:val="32"/>
        </w:rPr>
        <w:t>Deliverables</w:t>
      </w:r>
    </w:p>
    <w:p>
      <w:pPr>
        <w:spacing w:before="20" w:after="40"/>
        <w:ind w:left="288" w:hanging="216"/>
      </w:pPr>
      <w:r>
        <w:rPr>
          <w:rFonts w:ascii="Calibri" w:hAnsi="Calibri" w:eastAsia="Calibri"/>
          <w:b w:val="0"/>
          <w:i w:val="0"/>
          <w:color w:val="222222"/>
          <w:sz w:val="22"/>
        </w:rPr>
        <w:t>•  RTL configured for the agreed degree, modulus, butterfly units per stage, and the choice of whether the second polynomial is transformed in the hardware</w:t>
      </w:r>
    </w:p>
    <w:p>
      <w:pPr>
        <w:spacing w:before="20" w:after="40"/>
        <w:ind w:left="288" w:hanging="216"/>
      </w:pPr>
      <w:r>
        <w:rPr>
          <w:rFonts w:ascii="Calibri" w:hAnsi="Calibri" w:eastAsia="Calibri"/>
          <w:b w:val="0"/>
          <w:i w:val="0"/>
          <w:color w:val="222222"/>
          <w:sz w:val="22"/>
        </w:rPr>
        <w:t>•  Streaming interface described under Key features</w:t>
      </w:r>
    </w:p>
    <w:p>
      <w:pPr>
        <w:spacing w:before="20" w:after="40"/>
        <w:ind w:left="288" w:hanging="216"/>
      </w:pPr>
      <w:r>
        <w:rPr>
          <w:rFonts w:ascii="Calibri" w:hAnsi="Calibri" w:eastAsia="Calibri"/>
          <w:b w:val="0"/>
          <w:i w:val="0"/>
          <w:color w:val="222222"/>
          <w:sz w:val="22"/>
        </w:rPr>
        <w:t>•  A bus wrapper on the streaming interface, when a bus is requested</w:t>
      </w:r>
    </w:p>
    <w:p>
      <w:pPr>
        <w:spacing w:before="20" w:after="40"/>
        <w:ind w:left="288" w:hanging="216"/>
      </w:pPr>
      <w:r>
        <w:rPr>
          <w:rFonts w:ascii="Calibri" w:hAnsi="Calibri" w:eastAsia="Calibri"/>
          <w:b w:val="0"/>
          <w:i w:val="0"/>
          <w:color w:val="222222"/>
          <w:sz w:val="22"/>
        </w:rPr>
        <w:t>•  Verification, including the tests, the test report, and code coverage</w:t>
      </w:r>
    </w:p>
    <w:p>
      <w:pPr>
        <w:widowControl w:val="0"/>
        <w:spacing w:before="80" w:after="0"/>
      </w:pPr>
      <w:r>
        <w:rPr>
          <w:rFonts w:ascii="Calibri" w:hAnsi="Calibri" w:eastAsia="Calibri"/>
          <w:b/>
          <w:i w:val="0"/>
          <w:color w:val="008080"/>
          <w:sz w:val="22"/>
        </w:rPr>
        <w:t>Qryptic Inc.    Contact: [email]</w:t>
      </w:r>
    </w:p>
    <w:sectPr w:rsidR="00FC693F" w:rsidRPr="0006063C" w:rsidSect="00034616">
      <w:footerReference w:type="default" r:id="rId9"/>
      <w:pgSz w:w="12240" w:h="15840"/>
      <w:pgMar w:top="792" w:right="864" w:bottom="792" w:left="86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008080"/>
        <w:sz w:val="18"/>
      </w:rPr>
      <w:t xml:space="preserve">Qryptic Inc.  ·  </w:t>
    </w:r>
    <w:r>
      <w:rPr>
        <w:rFonts w:ascii="Calibri" w:hAnsi="Calibri" w:eastAsia="Calibri"/>
        <w:b w:val="0"/>
        <w:i w:val="0"/>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