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720" w:rsidRDefault="00086720" w:rsidP="008B16BB">
      <w:bookmarkStart w:id="0" w:name="_Toc459888455"/>
    </w:p>
    <w:p w:rsidR="00472B27" w:rsidRPr="0009320A" w:rsidRDefault="00472B27" w:rsidP="00472B27">
      <w:pPr>
        <w:pStyle w:val="TtuloApartado1sinnivel"/>
      </w:pPr>
      <w:r w:rsidRPr="0009320A">
        <w:t xml:space="preserve">Trabajo. </w:t>
      </w:r>
      <w:r w:rsidR="007F28E9">
        <w:t>La zona de confort</w:t>
      </w:r>
    </w:p>
    <w:p w:rsidR="00472B27" w:rsidRDefault="00472B27" w:rsidP="00472B27">
      <w:pPr>
        <w:jc w:val="left"/>
        <w:rPr>
          <w:rFonts w:cs="UnitOT-Light"/>
          <w:szCs w:val="22"/>
        </w:rPr>
      </w:pPr>
    </w:p>
    <w:p w:rsidR="00472B27" w:rsidRDefault="007F28E9" w:rsidP="00472B27">
      <w:r w:rsidRPr="007F28E9">
        <w:t>Te proponemos en esta actividad que veas el siguiente vídeo:</w:t>
      </w:r>
    </w:p>
    <w:p w:rsidR="007F28E9" w:rsidRDefault="007F28E9" w:rsidP="00472B27"/>
    <w:p w:rsidR="007F28E9" w:rsidRDefault="007F28E9" w:rsidP="007F28E9">
      <w:pPr>
        <w:jc w:val="center"/>
        <w:rPr>
          <w:rFonts w:cs="UnitOT-Light"/>
          <w:szCs w:val="22"/>
        </w:rPr>
      </w:pPr>
      <w:r w:rsidRPr="006721AF">
        <w:rPr>
          <w:noProof/>
          <w:bdr w:val="single" w:sz="4" w:space="0" w:color="808080" w:themeColor="background1" w:themeShade="80"/>
        </w:rPr>
        <w:drawing>
          <wp:inline distT="0" distB="0" distL="0" distR="0">
            <wp:extent cx="4096385" cy="2485390"/>
            <wp:effectExtent l="19050" t="19050" r="1841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_activid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485390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7F28E9" w:rsidRPr="00795F8B" w:rsidRDefault="007F28E9" w:rsidP="00472B27">
      <w:pPr>
        <w:rPr>
          <w:rFonts w:cs="UnitOT-Light"/>
          <w:szCs w:val="22"/>
        </w:rPr>
      </w:pPr>
    </w:p>
    <w:p w:rsidR="00472B27" w:rsidRPr="00795F8B" w:rsidRDefault="00472B27" w:rsidP="00472B27">
      <w:pPr>
        <w:pStyle w:val="Cuadroenlace"/>
      </w:pPr>
      <w:r w:rsidRPr="00795F8B">
        <w:t>Accede al vídeo a través del aula virtual o desde la siguiente dirección web:</w:t>
      </w:r>
      <w:r w:rsidR="007F28E9">
        <w:t xml:space="preserve"> </w:t>
      </w:r>
      <w:hyperlink r:id="rId9" w:history="1">
        <w:r w:rsidR="007F28E9" w:rsidRPr="00504CB6">
          <w:rPr>
            <w:rStyle w:val="Hipervnculo"/>
            <w:sz w:val="24"/>
          </w:rPr>
          <w:t>https://www.youtube.com/watch?v=RSUykLfEmVE</w:t>
        </w:r>
      </w:hyperlink>
      <w:r w:rsidR="007F28E9">
        <w:t xml:space="preserve"> </w:t>
      </w:r>
    </w:p>
    <w:p w:rsidR="00472B27" w:rsidRPr="00795F8B" w:rsidRDefault="00472B27" w:rsidP="00472B27">
      <w:pPr>
        <w:rPr>
          <w:rFonts w:cs="UnitOT-Light"/>
          <w:szCs w:val="22"/>
        </w:rPr>
      </w:pPr>
    </w:p>
    <w:p w:rsidR="007F28E9" w:rsidRPr="007F28E9" w:rsidRDefault="007F28E9" w:rsidP="007F28E9">
      <w:pPr>
        <w:rPr>
          <w:rFonts w:cs="UnitOT-Light"/>
          <w:szCs w:val="22"/>
        </w:rPr>
      </w:pPr>
      <w:r w:rsidRPr="007F28E9">
        <w:rPr>
          <w:rFonts w:cs="UnitOT-Light"/>
          <w:szCs w:val="22"/>
        </w:rPr>
        <w:t>¿Conocías lo que se llama «zona de confort»? Como has visto, la zona de confort es el entorno que conoces y dominas. Es importante salir de esa zona para aprender, experimentar y mejorar. Considera esta experiencia en UNIR como una excursión fuera de tu entorno y que vas a aprender cosas nuevas y adquirir herramientas para tener éxito en tus proyectos.</w:t>
      </w:r>
    </w:p>
    <w:p w:rsidR="007F28E9" w:rsidRPr="007F28E9" w:rsidRDefault="007F28E9" w:rsidP="007F28E9">
      <w:pPr>
        <w:rPr>
          <w:rFonts w:cs="UnitOT-Light"/>
          <w:szCs w:val="22"/>
        </w:rPr>
      </w:pPr>
    </w:p>
    <w:p w:rsidR="00472B27" w:rsidRDefault="007F28E9" w:rsidP="007F28E9">
      <w:pPr>
        <w:rPr>
          <w:rFonts w:cs="UnitOT-Light"/>
          <w:szCs w:val="22"/>
        </w:rPr>
      </w:pPr>
      <w:r w:rsidRPr="007F28E9">
        <w:rPr>
          <w:rFonts w:cs="UnitOT-Light"/>
          <w:szCs w:val="22"/>
        </w:rPr>
        <w:t>Piensa qué es lo que te ha llevado a emprender esta aventura en UNIR, cuáles son tus apoyos para lograr el éxito y qué herramientas puedes utilizar: tanto las que ya tienes en tu vida (tu esfuerzo, tu familia, etc.) como las que te ofrecemos en UNIR. Piensa también cuál es tu objetivo con respecto a la universidad y para qué quieres lograrlo.</w:t>
      </w:r>
    </w:p>
    <w:p w:rsidR="007F28E9" w:rsidRPr="007F28E9" w:rsidRDefault="007F28E9" w:rsidP="007F28E9">
      <w:pPr>
        <w:rPr>
          <w:rFonts w:cs="UnitOT-Light"/>
          <w:szCs w:val="22"/>
        </w:rPr>
      </w:pPr>
      <w:r w:rsidRPr="007F28E9">
        <w:rPr>
          <w:rFonts w:cs="UnitOT-Light"/>
          <w:szCs w:val="22"/>
        </w:rPr>
        <w:lastRenderedPageBreak/>
        <w:t xml:space="preserve">El </w:t>
      </w:r>
      <w:r w:rsidRPr="007F28E9">
        <w:rPr>
          <w:rFonts w:cs="UnitOT-Light"/>
          <w:b/>
          <w:szCs w:val="22"/>
        </w:rPr>
        <w:t>objetivo</w:t>
      </w:r>
      <w:r w:rsidRPr="007F28E9">
        <w:rPr>
          <w:rFonts w:cs="UnitOT-Light"/>
          <w:szCs w:val="22"/>
        </w:rPr>
        <w:t xml:space="preserve"> de esta actividad es que reflexiones sobre aspectos importantes que quizá no te hayas planteado y que seguro te van a motivar y a ayudar en el camino. Además de que te familiarices con la herramienta «</w:t>
      </w:r>
      <w:r w:rsidR="00466401">
        <w:rPr>
          <w:rFonts w:cs="UnitOT-Light"/>
          <w:szCs w:val="22"/>
        </w:rPr>
        <w:t>Actividades</w:t>
      </w:r>
      <w:r w:rsidRPr="007F28E9">
        <w:rPr>
          <w:rFonts w:cs="UnitOT-Light"/>
          <w:szCs w:val="22"/>
        </w:rPr>
        <w:t>».</w:t>
      </w:r>
    </w:p>
    <w:p w:rsidR="007F28E9" w:rsidRPr="007F28E9" w:rsidRDefault="007F28E9" w:rsidP="007F28E9">
      <w:pPr>
        <w:rPr>
          <w:rFonts w:cs="UnitOT-Light"/>
          <w:szCs w:val="22"/>
        </w:rPr>
      </w:pPr>
    </w:p>
    <w:p w:rsidR="007F28E9" w:rsidRPr="007F28E9" w:rsidRDefault="007F28E9" w:rsidP="007F28E9">
      <w:pPr>
        <w:rPr>
          <w:rFonts w:cs="UnitOT-Light"/>
          <w:szCs w:val="22"/>
        </w:rPr>
      </w:pPr>
      <w:r w:rsidRPr="007F28E9">
        <w:rPr>
          <w:rFonts w:cs="UnitOT-Light"/>
          <w:b/>
          <w:szCs w:val="22"/>
        </w:rPr>
        <w:t>Se valorará</w:t>
      </w:r>
      <w:r w:rsidRPr="007F28E9">
        <w:rPr>
          <w:rFonts w:cs="UnitOT-Light"/>
          <w:szCs w:val="22"/>
        </w:rPr>
        <w:t xml:space="preserve"> la relación de la reflexión con los elementos utilizados en el vídeo propuesto, y también que apliques el vocabulario con criterio y corrección.  </w:t>
      </w:r>
    </w:p>
    <w:p w:rsidR="007F28E9" w:rsidRPr="007F28E9" w:rsidRDefault="007F28E9" w:rsidP="007F28E9">
      <w:pPr>
        <w:rPr>
          <w:rFonts w:cs="UnitOT-Light"/>
          <w:szCs w:val="22"/>
        </w:rPr>
      </w:pPr>
    </w:p>
    <w:p w:rsidR="00F43A7D" w:rsidRPr="00F43A7D" w:rsidRDefault="007F28E9" w:rsidP="00F43A7D">
      <w:pPr>
        <w:rPr>
          <w:rFonts w:ascii="Times New Roman" w:hAnsi="Times New Roman"/>
          <w:color w:val="auto"/>
          <w:lang w:val="es-US" w:eastAsia="es-ES_tradnl"/>
        </w:rPr>
      </w:pPr>
      <w:r w:rsidRPr="007F28E9">
        <w:rPr>
          <w:rFonts w:cs="UnitOT-Light"/>
          <w:szCs w:val="22"/>
        </w:rPr>
        <w:t>Puedes escribir estos pensamientos a continuación en este documento y enviarlo desde «</w:t>
      </w:r>
      <w:r w:rsidR="00466401">
        <w:rPr>
          <w:rFonts w:cs="UnitOT-Light"/>
          <w:szCs w:val="22"/>
        </w:rPr>
        <w:t>Actividades</w:t>
      </w:r>
      <w:r w:rsidRPr="007F28E9">
        <w:rPr>
          <w:rFonts w:cs="UnitOT-Light"/>
          <w:szCs w:val="22"/>
        </w:rPr>
        <w:t xml:space="preserve">», en el menú lateral del aula virtual. Es importante que envíes esta actividad para practicar los envíos, puesto que es una herramienta que vas a utilizar de forma frecuente.   </w:t>
      </w:r>
      <w:bookmarkEnd w:id="0"/>
    </w:p>
    <w:p w:rsidR="00BF4B49" w:rsidRDefault="00BF4B49" w:rsidP="007F28E9">
      <w:pPr>
        <w:rPr>
          <w:rFonts w:cs="UnitOT-Light"/>
        </w:rPr>
      </w:pPr>
    </w:p>
    <w:p w:rsidR="00862CB5" w:rsidRDefault="00862CB5">
      <w:pPr>
        <w:spacing w:after="160" w:line="259" w:lineRule="auto"/>
        <w:jc w:val="left"/>
        <w:rPr>
          <w:rFonts w:ascii="Georgia" w:eastAsiaTheme="majorEastAsia" w:hAnsi="Georgia" w:cstheme="majorBidi"/>
          <w:color w:val="auto"/>
          <w:sz w:val="51"/>
          <w:szCs w:val="32"/>
        </w:rPr>
      </w:pPr>
      <w:r>
        <w:br w:type="page"/>
      </w:r>
    </w:p>
    <w:p w:rsidR="00F43A7D" w:rsidRDefault="001511F3" w:rsidP="001511F3">
      <w:pPr>
        <w:pStyle w:val="Ttulo1"/>
      </w:pPr>
      <w:r>
        <w:lastRenderedPageBreak/>
        <w:t>Respuesta</w:t>
      </w:r>
    </w:p>
    <w:p w:rsidR="001E38AA" w:rsidRDefault="001E38AA" w:rsidP="007F28E9">
      <w:pPr>
        <w:rPr>
          <w:rFonts w:cs="UnitOT-Light"/>
        </w:rPr>
      </w:pPr>
      <w:r>
        <w:rPr>
          <w:rFonts w:cs="UnitOT-Light"/>
        </w:rPr>
        <w:t>Me parece una buena idea</w:t>
      </w:r>
      <w:r w:rsidR="006D0454">
        <w:rPr>
          <w:rFonts w:cs="UnitOT-Light"/>
        </w:rPr>
        <w:t xml:space="preserve"> preparar los alumnos </w:t>
      </w:r>
      <w:r w:rsidR="00294004">
        <w:rPr>
          <w:rFonts w:cs="UnitOT-Light"/>
        </w:rPr>
        <w:t xml:space="preserve">de que el camino por adelante en este </w:t>
      </w:r>
      <w:r w:rsidR="00A30A74">
        <w:rPr>
          <w:rFonts w:cs="UnitOT-Light"/>
        </w:rPr>
        <w:t>máster</w:t>
      </w:r>
      <w:r w:rsidR="00294004">
        <w:rPr>
          <w:rFonts w:cs="UnitOT-Light"/>
        </w:rPr>
        <w:t xml:space="preserve"> puede ser difícil, pero vencer una fase difícil a veces ayudar en crecer.</w:t>
      </w:r>
    </w:p>
    <w:p w:rsidR="00294004" w:rsidRDefault="00294004" w:rsidP="007F28E9">
      <w:pPr>
        <w:rPr>
          <w:rFonts w:cs="UnitOT-Light"/>
        </w:rPr>
      </w:pPr>
    </w:p>
    <w:p w:rsidR="00F43A7D" w:rsidRDefault="00A30A74" w:rsidP="007F28E9">
      <w:pPr>
        <w:rPr>
          <w:rFonts w:cs="UnitOT-Light"/>
        </w:rPr>
      </w:pPr>
      <w:r>
        <w:rPr>
          <w:rFonts w:cs="UnitOT-Light"/>
        </w:rPr>
        <w:t>Por otro lado, el</w:t>
      </w:r>
      <w:r w:rsidR="00117399">
        <w:rPr>
          <w:rFonts w:cs="UnitOT-Light"/>
        </w:rPr>
        <w:t xml:space="preserve"> video me parece demasiado juvenil, y t</w:t>
      </w:r>
      <w:r w:rsidR="001511F3">
        <w:rPr>
          <w:rFonts w:cs="UnitOT-Light"/>
        </w:rPr>
        <w:t>uve algunos problemas con los términos utilizados en este video</w:t>
      </w:r>
      <w:r w:rsidR="00117399">
        <w:rPr>
          <w:rFonts w:cs="UnitOT-Light"/>
        </w:rPr>
        <w:t>.</w:t>
      </w:r>
      <w:r w:rsidR="001511F3">
        <w:rPr>
          <w:rFonts w:cs="UnitOT-Light"/>
        </w:rPr>
        <w:t xml:space="preserve"> </w:t>
      </w:r>
      <w:r w:rsidR="00117399">
        <w:rPr>
          <w:rFonts w:cs="UnitOT-Light"/>
        </w:rPr>
        <w:t xml:space="preserve">Buscando en </w:t>
      </w:r>
      <w:r w:rsidR="001511F3">
        <w:rPr>
          <w:rFonts w:cs="UnitOT-Light"/>
        </w:rPr>
        <w:t xml:space="preserve">Wikipedia </w:t>
      </w:r>
      <w:r w:rsidR="00117399">
        <w:rPr>
          <w:rFonts w:cs="UnitOT-Light"/>
        </w:rPr>
        <w:t xml:space="preserve">sobre </w:t>
      </w:r>
      <w:proofErr w:type="gramStart"/>
      <w:r w:rsidR="00117399">
        <w:rPr>
          <w:rFonts w:cs="UnitOT-Light"/>
        </w:rPr>
        <w:t>la ”</w:t>
      </w:r>
      <w:proofErr w:type="spellStart"/>
      <w:r w:rsidR="00117399">
        <w:rPr>
          <w:rFonts w:cs="UnitOT-Light"/>
        </w:rPr>
        <w:t>comfort</w:t>
      </w:r>
      <w:proofErr w:type="spellEnd"/>
      <w:proofErr w:type="gramEnd"/>
      <w:r w:rsidR="00117399">
        <w:rPr>
          <w:rFonts w:cs="UnitOT-Light"/>
        </w:rPr>
        <w:t xml:space="preserve"> </w:t>
      </w:r>
      <w:proofErr w:type="spellStart"/>
      <w:r w:rsidR="00117399">
        <w:rPr>
          <w:rFonts w:cs="UnitOT-Light"/>
        </w:rPr>
        <w:t>zone</w:t>
      </w:r>
      <w:proofErr w:type="spellEnd"/>
      <w:r w:rsidR="00117399">
        <w:rPr>
          <w:rFonts w:cs="UnitOT-Light"/>
        </w:rPr>
        <w:t xml:space="preserve">” </w:t>
      </w:r>
      <w:r w:rsidR="001511F3">
        <w:rPr>
          <w:rFonts w:cs="UnitOT-Light"/>
        </w:rPr>
        <w:t>(</w:t>
      </w:r>
      <w:hyperlink r:id="rId10" w:history="1">
        <w:r w:rsidR="001511F3" w:rsidRPr="00FF029E">
          <w:rPr>
            <w:rStyle w:val="Hipervnculo"/>
            <w:rFonts w:cs="UnitOT-Light"/>
            <w:sz w:val="24"/>
          </w:rPr>
          <w:t>https://en.wikipedia.org/wiki/Comfort_zone</w:t>
        </w:r>
      </w:hyperlink>
      <w:r w:rsidR="001511F3">
        <w:rPr>
          <w:rFonts w:cs="UnitOT-Light"/>
        </w:rPr>
        <w:t xml:space="preserve"> ) me </w:t>
      </w:r>
      <w:r w:rsidR="00117399">
        <w:rPr>
          <w:rFonts w:cs="UnitOT-Light"/>
        </w:rPr>
        <w:t xml:space="preserve">di </w:t>
      </w:r>
      <w:r w:rsidR="001511F3">
        <w:rPr>
          <w:rFonts w:cs="UnitOT-Light"/>
        </w:rPr>
        <w:t xml:space="preserve">cuenta que el video parece </w:t>
      </w:r>
      <w:r w:rsidR="00862CB5">
        <w:rPr>
          <w:rFonts w:cs="UnitOT-Light"/>
        </w:rPr>
        <w:t>utilizar el termino “Zona de aprendizaje” para la zona media de este diagrama.</w:t>
      </w:r>
    </w:p>
    <w:p w:rsidR="00DD6FC1" w:rsidRDefault="00DD6FC1" w:rsidP="007F28E9">
      <w:pPr>
        <w:rPr>
          <w:rFonts w:cs="UnitOT-Light"/>
        </w:rPr>
      </w:pPr>
    </w:p>
    <w:p w:rsidR="00F43A7D" w:rsidRDefault="00862CB5" w:rsidP="006D0454">
      <w:pPr>
        <w:ind w:left="2836"/>
        <w:rPr>
          <w:rFonts w:ascii="Times New Roman" w:hAnsi="Times New Roman"/>
          <w:color w:val="auto"/>
          <w:lang w:val="es-US" w:eastAsia="es-ES_tradnl"/>
        </w:rPr>
      </w:pPr>
      <w:r w:rsidRPr="00F43A7D">
        <w:rPr>
          <w:rFonts w:ascii="Times New Roman" w:hAnsi="Times New Roman"/>
          <w:color w:val="auto"/>
          <w:lang w:val="es-US" w:eastAsia="es-ES_tradnl"/>
        </w:rPr>
        <w:fldChar w:fldCharType="begin"/>
      </w:r>
      <w:r w:rsidRPr="00F43A7D">
        <w:rPr>
          <w:rFonts w:ascii="Times New Roman" w:hAnsi="Times New Roman"/>
          <w:color w:val="auto"/>
          <w:lang w:val="es-US" w:eastAsia="es-ES_tradnl"/>
        </w:rPr>
        <w:instrText xml:space="preserve"> INCLUDEPICTURE "https://upload.wikimedia.org/wikipedia/commons/thumb/c/cc/Comfort_zone.jpg/220px-Comfort_zone.jpg" \* MERGEFORMATINET </w:instrText>
      </w:r>
      <w:r w:rsidRPr="00F43A7D">
        <w:rPr>
          <w:rFonts w:ascii="Times New Roman" w:hAnsi="Times New Roman"/>
          <w:color w:val="auto"/>
          <w:lang w:val="es-US" w:eastAsia="es-ES_tradnl"/>
        </w:rPr>
        <w:fldChar w:fldCharType="separate"/>
      </w:r>
      <w:r w:rsidRPr="00F43A7D">
        <w:rPr>
          <w:rFonts w:ascii="Times New Roman" w:hAnsi="Times New Roman"/>
          <w:noProof/>
          <w:color w:val="auto"/>
          <w:lang w:val="es-US" w:eastAsia="es-ES_tradnl"/>
        </w:rPr>
        <w:drawing>
          <wp:inline distT="0" distB="0" distL="0" distR="0" wp14:anchorId="0A579C8D" wp14:editId="5E1D911B">
            <wp:extent cx="1546789" cy="1551358"/>
            <wp:effectExtent l="0" t="0" r="3175" b="0"/>
            <wp:docPr id="2" name="Imagen 2" descr="https://upload.wikimedia.org/wikipedia/commons/thumb/c/cc/Comfort_zone.jpg/220px-Comfort_z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c/Comfort_zone.jpg/220px-Comfort_zon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821" cy="15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A7D">
        <w:rPr>
          <w:rFonts w:ascii="Times New Roman" w:hAnsi="Times New Roman"/>
          <w:color w:val="auto"/>
          <w:lang w:val="es-US" w:eastAsia="es-ES_tradnl"/>
        </w:rPr>
        <w:fldChar w:fldCharType="end"/>
      </w:r>
    </w:p>
    <w:p w:rsidR="00862CB5" w:rsidRDefault="00862CB5" w:rsidP="00862CB5">
      <w:pPr>
        <w:rPr>
          <w:rFonts w:cs="UnitOT-Light"/>
        </w:rPr>
      </w:pPr>
    </w:p>
    <w:p w:rsidR="00862CB5" w:rsidRDefault="00862CB5" w:rsidP="00862CB5">
      <w:pPr>
        <w:rPr>
          <w:rFonts w:cs="UnitOT-Light"/>
        </w:rPr>
      </w:pPr>
      <w:r>
        <w:rPr>
          <w:rFonts w:cs="UnitOT-Light"/>
        </w:rPr>
        <w:t xml:space="preserve">Tal vez el enfoque de este video es solamente en los temas de </w:t>
      </w:r>
      <w:r w:rsidR="00A30A74">
        <w:rPr>
          <w:rFonts w:cs="UnitOT-Light"/>
        </w:rPr>
        <w:t xml:space="preserve">los </w:t>
      </w:r>
      <w:r w:rsidR="006546CE">
        <w:rPr>
          <w:rFonts w:cs="UnitOT-Light"/>
        </w:rPr>
        <w:t>estudios</w:t>
      </w:r>
      <w:r>
        <w:rPr>
          <w:rFonts w:cs="UnitOT-Light"/>
        </w:rPr>
        <w:t xml:space="preserve"> y por eso le llaman así, pero el termino “rendimiento optimo” me parece mejor.</w:t>
      </w:r>
    </w:p>
    <w:p w:rsidR="00117399" w:rsidRDefault="008C2744" w:rsidP="00862CB5">
      <w:pPr>
        <w:rPr>
          <w:rFonts w:cs="UnitOT-Light"/>
        </w:rPr>
      </w:pPr>
      <w:bookmarkStart w:id="1" w:name="_GoBack"/>
      <w:bookmarkEnd w:id="1"/>
      <w:r>
        <w:rPr>
          <w:rFonts w:cs="UnitOT-Light"/>
        </w:rPr>
        <w:t>Además,</w:t>
      </w:r>
      <w:r w:rsidR="00117399">
        <w:rPr>
          <w:rFonts w:cs="UnitOT-Light"/>
        </w:rPr>
        <w:t xml:space="preserve"> definen el área fuera de la zona de confort</w:t>
      </w:r>
      <w:r w:rsidR="00A30A74">
        <w:rPr>
          <w:rFonts w:cs="UnitOT-Light"/>
        </w:rPr>
        <w:t xml:space="preserve">, como </w:t>
      </w:r>
      <w:r w:rsidR="00117399">
        <w:rPr>
          <w:rFonts w:cs="UnitOT-Light"/>
        </w:rPr>
        <w:t xml:space="preserve">todo que sea fuera de tus experiencias habituales. No estoy de acuerdo con eso. La zona de no confort son momentos y situaciones que no sabes </w:t>
      </w:r>
      <w:r w:rsidR="00DD6FC1">
        <w:rPr>
          <w:rFonts w:cs="UnitOT-Light"/>
        </w:rPr>
        <w:t>manejar</w:t>
      </w:r>
      <w:r w:rsidR="00117399">
        <w:rPr>
          <w:rFonts w:cs="UnitOT-Light"/>
        </w:rPr>
        <w:t xml:space="preserve"> y no sabes como comportarte. Una situación nueva puede ser completamente agradable y </w:t>
      </w:r>
      <w:proofErr w:type="gramStart"/>
      <w:r w:rsidR="00117399">
        <w:rPr>
          <w:rFonts w:cs="UnitOT-Light"/>
        </w:rPr>
        <w:t>eso</w:t>
      </w:r>
      <w:proofErr w:type="gramEnd"/>
      <w:r w:rsidR="00117399">
        <w:rPr>
          <w:rFonts w:cs="UnitOT-Light"/>
        </w:rPr>
        <w:t xml:space="preserve"> aunque es una situación nueva y se aprende</w:t>
      </w:r>
      <w:r w:rsidR="00A30A74">
        <w:rPr>
          <w:rFonts w:cs="UnitOT-Light"/>
        </w:rPr>
        <w:t xml:space="preserve"> un aspecto nuevo del</w:t>
      </w:r>
      <w:r w:rsidR="00117399">
        <w:rPr>
          <w:rFonts w:cs="UnitOT-Light"/>
        </w:rPr>
        <w:t>, no es fuera de confort.</w:t>
      </w:r>
    </w:p>
    <w:p w:rsidR="00862CB5" w:rsidRDefault="00862CB5" w:rsidP="00862CB5">
      <w:pPr>
        <w:rPr>
          <w:rFonts w:cs="UnitOT-Light"/>
        </w:rPr>
      </w:pPr>
    </w:p>
    <w:p w:rsidR="00862CB5" w:rsidRDefault="00862CB5" w:rsidP="00862CB5">
      <w:pPr>
        <w:rPr>
          <w:rFonts w:cs="UnitOT-Light"/>
        </w:rPr>
      </w:pPr>
      <w:r>
        <w:rPr>
          <w:rFonts w:cs="UnitOT-Light"/>
        </w:rPr>
        <w:t xml:space="preserve">Como lo entiendo yo, enterar en el “área de pánico” no te ayudara en conseguir tus objetivos actuales, pero </w:t>
      </w:r>
      <w:r w:rsidR="00A30A74">
        <w:rPr>
          <w:rFonts w:cs="UnitOT-Light"/>
        </w:rPr>
        <w:t xml:space="preserve">ayuda </w:t>
      </w:r>
      <w:r>
        <w:rPr>
          <w:rFonts w:cs="UnitOT-Light"/>
        </w:rPr>
        <w:t>a largo plazo tener mas herramientas, opciones y una resiliencia mas alta.</w:t>
      </w:r>
      <w:r w:rsidR="00117399">
        <w:rPr>
          <w:rFonts w:cs="UnitOT-Light"/>
        </w:rPr>
        <w:t xml:space="preserve"> </w:t>
      </w:r>
      <w:r w:rsidR="00A30A74">
        <w:rPr>
          <w:rFonts w:cs="UnitOT-Light"/>
        </w:rPr>
        <w:t>Que no tengo muy claro es</w:t>
      </w:r>
      <w:r w:rsidR="00117399">
        <w:rPr>
          <w:rFonts w:cs="UnitOT-Light"/>
        </w:rPr>
        <w:t xml:space="preserve"> que piensa</w:t>
      </w:r>
      <w:r w:rsidR="00A30A74">
        <w:rPr>
          <w:rFonts w:cs="UnitOT-Light"/>
        </w:rPr>
        <w:t>n los autores</w:t>
      </w:r>
      <w:r w:rsidR="00117399">
        <w:rPr>
          <w:rFonts w:cs="UnitOT-Light"/>
        </w:rPr>
        <w:t xml:space="preserve"> cuando es una idea </w:t>
      </w:r>
      <w:r w:rsidR="00A30A74">
        <w:rPr>
          <w:rFonts w:cs="UnitOT-Light"/>
        </w:rPr>
        <w:t xml:space="preserve">buena </w:t>
      </w:r>
      <w:r w:rsidR="00117399">
        <w:rPr>
          <w:rFonts w:cs="UnitOT-Light"/>
        </w:rPr>
        <w:t>salir a la zona de pánico. Me pued</w:t>
      </w:r>
      <w:r w:rsidR="00A30A74">
        <w:rPr>
          <w:rFonts w:cs="UnitOT-Light"/>
        </w:rPr>
        <w:t>o</w:t>
      </w:r>
      <w:r w:rsidR="00117399">
        <w:rPr>
          <w:rFonts w:cs="UnitOT-Light"/>
        </w:rPr>
        <w:t xml:space="preserve"> imaginar que vivir en su zona </w:t>
      </w:r>
      <w:r w:rsidR="00117399">
        <w:rPr>
          <w:rFonts w:cs="UnitOT-Light"/>
        </w:rPr>
        <w:lastRenderedPageBreak/>
        <w:t>confort toda la vi</w:t>
      </w:r>
      <w:r w:rsidR="00A30A74">
        <w:rPr>
          <w:rFonts w:cs="UnitOT-Light"/>
        </w:rPr>
        <w:t>d</w:t>
      </w:r>
      <w:r w:rsidR="00117399">
        <w:rPr>
          <w:rFonts w:cs="UnitOT-Light"/>
        </w:rPr>
        <w:t xml:space="preserve">a, si la persona esta a gusto con su vida y las cosas le vayan bien, no tiene nada de malo y no hay una necesidad de exponerse </w:t>
      </w:r>
      <w:r w:rsidR="00A30A74">
        <w:rPr>
          <w:rFonts w:cs="UnitOT-Light"/>
        </w:rPr>
        <w:t>o</w:t>
      </w:r>
      <w:r w:rsidR="00117399">
        <w:rPr>
          <w:rFonts w:cs="UnitOT-Light"/>
        </w:rPr>
        <w:t xml:space="preserve"> afrontarse con la zona de pánico.</w:t>
      </w:r>
    </w:p>
    <w:p w:rsidR="00DD6FC1" w:rsidRDefault="00DD6FC1" w:rsidP="00862CB5">
      <w:pPr>
        <w:rPr>
          <w:rFonts w:cs="UnitOT-Light"/>
        </w:rPr>
      </w:pPr>
    </w:p>
    <w:p w:rsidR="001F044C" w:rsidRDefault="00DD6FC1" w:rsidP="00862CB5">
      <w:pPr>
        <w:rPr>
          <w:rFonts w:cs="UnitOT-Light"/>
        </w:rPr>
      </w:pPr>
      <w:r>
        <w:rPr>
          <w:rFonts w:cs="UnitOT-Light"/>
        </w:rPr>
        <w:t xml:space="preserve">Tengo algunas sospechas cuales son los motivos, porque alguien en </w:t>
      </w:r>
      <w:r w:rsidR="00A30A74">
        <w:rPr>
          <w:rFonts w:cs="UnitOT-Light"/>
        </w:rPr>
        <w:t>los días</w:t>
      </w:r>
      <w:r>
        <w:rPr>
          <w:rFonts w:cs="UnitOT-Light"/>
        </w:rPr>
        <w:t xml:space="preserve"> de hoy se expone a la zona de pánico, pero temo que </w:t>
      </w:r>
      <w:r w:rsidR="00A30A74">
        <w:rPr>
          <w:rFonts w:cs="UnitOT-Light"/>
        </w:rPr>
        <w:t>la razón mas importante</w:t>
      </w:r>
      <w:r>
        <w:rPr>
          <w:rFonts w:cs="UnitOT-Light"/>
        </w:rPr>
        <w:t xml:space="preserve"> es, que la precisión social impide detención. La sociedad como el individuo esta obligado de avanzar y cambiar continuamente. Si es así, </w:t>
      </w:r>
      <w:r w:rsidR="001F044C">
        <w:rPr>
          <w:rFonts w:cs="UnitOT-Light"/>
        </w:rPr>
        <w:t xml:space="preserve">la situación se pone completamente revés. La gente esta obligado de aumentar su zona de confort por no sufrir el pánico de esta fuera de las normas de la sociedad. </w:t>
      </w:r>
    </w:p>
    <w:p w:rsidR="001F044C" w:rsidRDefault="001F044C" w:rsidP="00862CB5">
      <w:pPr>
        <w:rPr>
          <w:rFonts w:cs="UnitOT-Light"/>
        </w:rPr>
      </w:pPr>
    </w:p>
    <w:p w:rsidR="00DD6FC1" w:rsidRPr="00A90972" w:rsidRDefault="001F044C" w:rsidP="00862CB5">
      <w:pPr>
        <w:rPr>
          <w:rFonts w:cs="UnitOT-Light"/>
        </w:rPr>
      </w:pPr>
      <w:r>
        <w:rPr>
          <w:rFonts w:cs="UnitOT-Light"/>
        </w:rPr>
        <w:t xml:space="preserve">Así </w:t>
      </w:r>
      <w:r w:rsidR="00A30A74">
        <w:rPr>
          <w:rFonts w:cs="UnitOT-Light"/>
        </w:rPr>
        <w:t xml:space="preserve">la </w:t>
      </w:r>
      <w:r w:rsidR="00DD6FC1">
        <w:rPr>
          <w:rFonts w:cs="UnitOT-Light"/>
        </w:rPr>
        <w:t xml:space="preserve">expansión de la zona confort, por aguantar los sufrimientos de la zona de pánico, solo sirven para </w:t>
      </w:r>
      <w:r>
        <w:rPr>
          <w:rFonts w:cs="UnitOT-Light"/>
        </w:rPr>
        <w:t>correr en el sitio.</w:t>
      </w:r>
    </w:p>
    <w:sectPr w:rsidR="00DD6FC1" w:rsidRPr="00A90972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A30" w:rsidRDefault="00970A30" w:rsidP="00C50246">
      <w:pPr>
        <w:spacing w:line="240" w:lineRule="auto"/>
      </w:pPr>
      <w:r>
        <w:separator/>
      </w:r>
    </w:p>
  </w:endnote>
  <w:endnote w:type="continuationSeparator" w:id="0">
    <w:p w:rsidR="00970A30" w:rsidRDefault="00970A3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UnitOT-Bold"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6640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6640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41334B" w:rsidP="00B96994">
    <w:pPr>
      <w:pStyle w:val="PiedepginaSecciones"/>
      <w:rPr>
        <w:color w:val="77777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A30" w:rsidRDefault="00970A30" w:rsidP="00C50246">
      <w:pPr>
        <w:spacing w:line="240" w:lineRule="auto"/>
      </w:pPr>
      <w:r>
        <w:separator/>
      </w:r>
    </w:p>
  </w:footnote>
  <w:footnote w:type="continuationSeparator" w:id="0">
    <w:p w:rsidR="00970A30" w:rsidRDefault="00970A3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7F28E9" w:rsidP="00C65063">
          <w:pPr>
            <w:pStyle w:val="Textocajaactividades"/>
          </w:pPr>
          <w:r>
            <w:t>Curso de Introducción al Campus Virtual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BE26EC1"/>
    <w:multiLevelType w:val="multilevel"/>
    <w:tmpl w:val="FCB6914A"/>
    <w:numStyleLink w:val="VietasUNIRcombinada"/>
  </w:abstractNum>
  <w:abstractNum w:abstractNumId="16" w15:restartNumberingAfterBreak="0">
    <w:nsid w:val="4D255449"/>
    <w:multiLevelType w:val="multilevel"/>
    <w:tmpl w:val="B37C3B20"/>
    <w:numStyleLink w:val="VietasUNIR"/>
  </w:abstractNum>
  <w:abstractNum w:abstractNumId="1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8EB5908"/>
    <w:multiLevelType w:val="multilevel"/>
    <w:tmpl w:val="B37C3B20"/>
    <w:numStyleLink w:val="VietasUNIR"/>
  </w:abstractNum>
  <w:abstractNum w:abstractNumId="1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C542083"/>
    <w:multiLevelType w:val="multilevel"/>
    <w:tmpl w:val="B0E0186E"/>
    <w:numStyleLink w:val="NmeracinTest"/>
  </w:abstractNum>
  <w:abstractNum w:abstractNumId="21" w15:restartNumberingAfterBreak="0">
    <w:nsid w:val="7D254355"/>
    <w:multiLevelType w:val="multilevel"/>
    <w:tmpl w:val="B37C3B20"/>
    <w:numStyleLink w:val="VietasUNIR"/>
  </w:abstractNum>
  <w:abstractNum w:abstractNumId="2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14"/>
  </w:num>
  <w:num w:numId="5">
    <w:abstractNumId w:val="7"/>
  </w:num>
  <w:num w:numId="6">
    <w:abstractNumId w:val="3"/>
  </w:num>
  <w:num w:numId="7">
    <w:abstractNumId w:val="17"/>
  </w:num>
  <w:num w:numId="8">
    <w:abstractNumId w:val="6"/>
  </w:num>
  <w:num w:numId="9">
    <w:abstractNumId w:val="19"/>
  </w:num>
  <w:num w:numId="10">
    <w:abstractNumId w:val="1"/>
  </w:num>
  <w:num w:numId="11">
    <w:abstractNumId w:val="22"/>
  </w:num>
  <w:num w:numId="12">
    <w:abstractNumId w:val="2"/>
  </w:num>
  <w:num w:numId="13">
    <w:abstractNumId w:val="10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20"/>
  </w:num>
  <w:num w:numId="19">
    <w:abstractNumId w:val="4"/>
  </w:num>
  <w:num w:numId="20">
    <w:abstractNumId w:val="9"/>
  </w:num>
  <w:num w:numId="21">
    <w:abstractNumId w:val="15"/>
  </w:num>
  <w:num w:numId="22">
    <w:abstractNumId w:val="8"/>
  </w:num>
  <w:num w:numId="2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17399"/>
    <w:rsid w:val="00137CF9"/>
    <w:rsid w:val="001511F3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AA"/>
    <w:rsid w:val="001E38BB"/>
    <w:rsid w:val="001E6766"/>
    <w:rsid w:val="001E737A"/>
    <w:rsid w:val="001F017C"/>
    <w:rsid w:val="001F044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94004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401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2C1D"/>
    <w:rsid w:val="006467F9"/>
    <w:rsid w:val="0065243B"/>
    <w:rsid w:val="006546CE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0454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28E9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2CB5"/>
    <w:rsid w:val="00866DD8"/>
    <w:rsid w:val="00866EC2"/>
    <w:rsid w:val="008745E4"/>
    <w:rsid w:val="008807AF"/>
    <w:rsid w:val="0088459B"/>
    <w:rsid w:val="008B16BB"/>
    <w:rsid w:val="008B6154"/>
    <w:rsid w:val="008C09DB"/>
    <w:rsid w:val="008C2744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4482E"/>
    <w:rsid w:val="0095328C"/>
    <w:rsid w:val="009546DA"/>
    <w:rsid w:val="009563DF"/>
    <w:rsid w:val="00962EC2"/>
    <w:rsid w:val="00970A30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30A74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E6F56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20B"/>
    <w:rsid w:val="00DA4A6D"/>
    <w:rsid w:val="00DA6FF8"/>
    <w:rsid w:val="00DB4BD9"/>
    <w:rsid w:val="00DB5335"/>
    <w:rsid w:val="00DC3808"/>
    <w:rsid w:val="00DD0B32"/>
    <w:rsid w:val="00DD2649"/>
    <w:rsid w:val="00DD6FC1"/>
    <w:rsid w:val="00DE4822"/>
    <w:rsid w:val="00DE55C5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3A7D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4670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151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mfort_z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SUykLfEm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4AD1D-EB33-4246-9656-4165FF05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Pasieka,Manuel</cp:lastModifiedBy>
  <cp:revision>6</cp:revision>
  <cp:lastPrinted>2017-09-08T09:41:00Z</cp:lastPrinted>
  <dcterms:created xsi:type="dcterms:W3CDTF">2018-11-08T20:05:00Z</dcterms:created>
  <dcterms:modified xsi:type="dcterms:W3CDTF">2018-11-09T11:03:00Z</dcterms:modified>
</cp:coreProperties>
</file>