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013EE" w14:textId="2C17F2C2" w:rsidR="008E7DD2" w:rsidRPr="008E7DD2" w:rsidRDefault="008E7DD2" w:rsidP="008E7DD2">
      <w:pPr>
        <w:rPr>
          <w:b/>
          <w:bCs/>
          <w:lang w:val="en-US"/>
        </w:rPr>
      </w:pPr>
      <w:r>
        <w:rPr>
          <w:b/>
          <w:bCs/>
        </w:rPr>
        <w:t>Estudiantes</w:t>
      </w:r>
      <w:r>
        <w:rPr>
          <w:b/>
          <w:bCs/>
          <w:lang w:val="en-US"/>
        </w:rPr>
        <w:t>:</w:t>
      </w:r>
    </w:p>
    <w:p w14:paraId="1C9A6F55" w14:textId="7706BCA6" w:rsidR="008E7DD2" w:rsidRPr="008E7DD2" w:rsidRDefault="008E7DD2" w:rsidP="008E7DD2">
      <w:r w:rsidRPr="008E7DD2">
        <w:t>Heidy Gurdián Valdivia</w:t>
      </w:r>
    </w:p>
    <w:p w14:paraId="21AE68D0" w14:textId="670D4F98" w:rsidR="008E7DD2" w:rsidRPr="008E7DD2" w:rsidRDefault="008E7DD2" w:rsidP="008E7DD2">
      <w:r w:rsidRPr="008E7DD2">
        <w:t>Berny Navarro López</w:t>
      </w:r>
    </w:p>
    <w:p w14:paraId="1A3901DF" w14:textId="77777777" w:rsidR="008E7DD2" w:rsidRDefault="008E7DD2" w:rsidP="008E7DD2">
      <w:pPr>
        <w:rPr>
          <w:b/>
          <w:bCs/>
        </w:rPr>
      </w:pPr>
      <w:r w:rsidRPr="008E7DD2">
        <w:t>Gerald Solano Matarrita</w:t>
      </w:r>
      <w:r>
        <w:rPr>
          <w:b/>
          <w:bCs/>
        </w:rPr>
        <w:br/>
      </w:r>
    </w:p>
    <w:p w14:paraId="4388A8B0" w14:textId="20A2A24C" w:rsidR="008E7DD2" w:rsidRPr="008E7DD2" w:rsidRDefault="008E7DD2" w:rsidP="008E7DD2">
      <w:pPr>
        <w:rPr>
          <w:b/>
          <w:bCs/>
        </w:rPr>
      </w:pPr>
      <w:r>
        <w:rPr>
          <w:b/>
          <w:bCs/>
        </w:rPr>
        <w:br/>
      </w:r>
      <w:r w:rsidRPr="008E7DD2">
        <w:rPr>
          <w:b/>
          <w:bCs/>
        </w:rPr>
        <w:t>Descripción de hallazgos</w:t>
      </w:r>
    </w:p>
    <w:p w14:paraId="6CBC5375" w14:textId="77777777" w:rsidR="008E7DD2" w:rsidRPr="008E7DD2" w:rsidRDefault="008E7DD2" w:rsidP="008E7DD2">
      <w:r w:rsidRPr="008E7DD2">
        <w:t xml:space="preserve">Este análisis se centró en el comportamiento del consumo de agua reportado por los operadores </w:t>
      </w:r>
      <w:proofErr w:type="spellStart"/>
      <w:r w:rsidRPr="008E7DD2">
        <w:rPr>
          <w:b/>
          <w:bCs/>
        </w:rPr>
        <w:t>AyA</w:t>
      </w:r>
      <w:proofErr w:type="spellEnd"/>
      <w:r w:rsidRPr="008E7DD2">
        <w:t xml:space="preserve"> y </w:t>
      </w:r>
      <w:r w:rsidRPr="008E7DD2">
        <w:rPr>
          <w:b/>
          <w:bCs/>
        </w:rPr>
        <w:t>ESPH</w:t>
      </w:r>
      <w:r w:rsidRPr="008E7DD2">
        <w:t xml:space="preserve"> durante los años </w:t>
      </w:r>
      <w:r w:rsidRPr="008E7DD2">
        <w:rPr>
          <w:b/>
          <w:bCs/>
        </w:rPr>
        <w:t>2019 y 2020</w:t>
      </w:r>
      <w:r w:rsidRPr="008E7DD2">
        <w:t>, basado en los registros abiertos de ARESEP.</w:t>
      </w:r>
    </w:p>
    <w:p w14:paraId="0FDAA272" w14:textId="77777777" w:rsidR="008E7DD2" w:rsidRPr="008E7DD2" w:rsidRDefault="008E7DD2" w:rsidP="008E7DD2">
      <w:pPr>
        <w:numPr>
          <w:ilvl w:val="0"/>
          <w:numId w:val="1"/>
        </w:numPr>
      </w:pPr>
      <w:r w:rsidRPr="008E7DD2">
        <w:rPr>
          <w:b/>
          <w:bCs/>
        </w:rPr>
        <w:t>Distribución de consumo por año:</w:t>
      </w:r>
      <w:r w:rsidRPr="008E7DD2">
        <w:t xml:space="preserve"> El gráfico circular muestra que el consumo se distribuyó en un 54,29% en 2020 y 45,71% en 2019, lo que indica un aumento interanual del volumen registrado. Este crecimiento puede deberse a cambios en la demanda, cobertura o eficiencia operativa, y sugiere que los operadores deben prepararse para un incremento continuo.</w:t>
      </w:r>
    </w:p>
    <w:p w14:paraId="5196BB77" w14:textId="77777777" w:rsidR="008E7DD2" w:rsidRPr="008E7DD2" w:rsidRDefault="008E7DD2" w:rsidP="008E7DD2">
      <w:pPr>
        <w:numPr>
          <w:ilvl w:val="0"/>
          <w:numId w:val="1"/>
        </w:numPr>
      </w:pPr>
      <w:r w:rsidRPr="008E7DD2">
        <w:rPr>
          <w:b/>
          <w:bCs/>
        </w:rPr>
        <w:t>Consumo por operador:</w:t>
      </w:r>
      <w:r w:rsidRPr="008E7DD2">
        <w:t xml:space="preserve"> </w:t>
      </w:r>
      <w:proofErr w:type="spellStart"/>
      <w:r w:rsidRPr="008E7DD2">
        <w:t>AyA</w:t>
      </w:r>
      <w:proofErr w:type="spellEnd"/>
      <w:r w:rsidRPr="008E7DD2">
        <w:t xml:space="preserve"> concentró el 86,49% del consumo total, mientras que ESPH solo representó el 13,51%. Esto muestra una gran diferencia en escala operativa entre ambos y sugiere que las estrategias de planificación, mantenimiento y expansión deben ajustarse a esa realidad.</w:t>
      </w:r>
    </w:p>
    <w:p w14:paraId="1EA2AC15" w14:textId="77777777" w:rsidR="008E7DD2" w:rsidRPr="008E7DD2" w:rsidRDefault="008E7DD2" w:rsidP="008E7DD2">
      <w:pPr>
        <w:numPr>
          <w:ilvl w:val="0"/>
          <w:numId w:val="1"/>
        </w:numPr>
      </w:pPr>
      <w:r w:rsidRPr="008E7DD2">
        <w:rPr>
          <w:b/>
          <w:bCs/>
        </w:rPr>
        <w:t>Consumo elevado (mayor a 300,000):</w:t>
      </w:r>
      <w:r w:rsidRPr="008E7DD2">
        <w:t xml:space="preserve"> Se identificaron </w:t>
      </w:r>
      <w:r w:rsidRPr="008E7DD2">
        <w:rPr>
          <w:b/>
          <w:bCs/>
        </w:rPr>
        <w:t>566 registros</w:t>
      </w:r>
      <w:r w:rsidRPr="008E7DD2">
        <w:t xml:space="preserve"> con consumos superiores a 300,000 m³, lo cual representa aproximadamente el </w:t>
      </w:r>
      <w:r w:rsidRPr="008E7DD2">
        <w:rPr>
          <w:b/>
          <w:bCs/>
        </w:rPr>
        <w:t>8%</w:t>
      </w:r>
      <w:r w:rsidRPr="008E7DD2">
        <w:t xml:space="preserve"> del total de registros (7,052). Este grupo, aunque reducido en cantidad, podría representar un alto impacto sobre la red hídrica. Sería recomendable priorizar estos casos en auditorías o en esquemas tarifarios especiales.</w:t>
      </w:r>
    </w:p>
    <w:p w14:paraId="793CEB54" w14:textId="51B2F305" w:rsidR="008E7DD2" w:rsidRPr="008E7DD2" w:rsidRDefault="008E7DD2" w:rsidP="008E7DD2">
      <w:pPr>
        <w:rPr>
          <w:b/>
          <w:bCs/>
        </w:rPr>
      </w:pPr>
      <w:r w:rsidRPr="008E7DD2">
        <w:rPr>
          <w:b/>
          <w:bCs/>
        </w:rPr>
        <w:t xml:space="preserve">Toma de decisiones </w:t>
      </w:r>
      <w:r>
        <w:rPr>
          <w:b/>
          <w:bCs/>
        </w:rPr>
        <w:t xml:space="preserve">basada </w:t>
      </w:r>
      <w:r w:rsidRPr="008E7DD2">
        <w:rPr>
          <w:b/>
          <w:bCs/>
        </w:rPr>
        <w:t>en los datos</w:t>
      </w:r>
    </w:p>
    <w:p w14:paraId="311CEFA6" w14:textId="77777777" w:rsidR="008E7DD2" w:rsidRPr="008E7DD2" w:rsidRDefault="008E7DD2" w:rsidP="008E7DD2">
      <w:pPr>
        <w:numPr>
          <w:ilvl w:val="0"/>
          <w:numId w:val="2"/>
        </w:numPr>
      </w:pPr>
      <w:r w:rsidRPr="008E7DD2">
        <w:t xml:space="preserve">Los hallazgos ayudan a </w:t>
      </w:r>
      <w:r w:rsidRPr="008E7DD2">
        <w:rPr>
          <w:b/>
          <w:bCs/>
        </w:rPr>
        <w:t>identificar áreas de consumo intensivo</w:t>
      </w:r>
      <w:r w:rsidRPr="008E7DD2">
        <w:t>, lo cual es clave para planificar inversiones en infraestructura.</w:t>
      </w:r>
    </w:p>
    <w:p w14:paraId="3E229024" w14:textId="77777777" w:rsidR="008E7DD2" w:rsidRPr="008E7DD2" w:rsidRDefault="008E7DD2" w:rsidP="008E7DD2">
      <w:pPr>
        <w:numPr>
          <w:ilvl w:val="0"/>
          <w:numId w:val="2"/>
        </w:numPr>
      </w:pPr>
      <w:r w:rsidRPr="008E7DD2">
        <w:t xml:space="preserve">Permite evaluar el </w:t>
      </w:r>
      <w:r w:rsidRPr="008E7DD2">
        <w:rPr>
          <w:b/>
          <w:bCs/>
        </w:rPr>
        <w:t>desempeño por operador</w:t>
      </w:r>
      <w:r w:rsidRPr="008E7DD2">
        <w:t>, especialmente en términos de volumen manejado.</w:t>
      </w:r>
    </w:p>
    <w:p w14:paraId="51584EA4" w14:textId="0C85C232" w:rsidR="008E7DD2" w:rsidRDefault="008E7DD2" w:rsidP="008E7DD2">
      <w:pPr>
        <w:numPr>
          <w:ilvl w:val="0"/>
          <w:numId w:val="2"/>
        </w:numPr>
      </w:pPr>
      <w:r w:rsidRPr="008E7DD2">
        <w:t xml:space="preserve">Sirve como base para </w:t>
      </w:r>
      <w:r w:rsidRPr="008E7DD2">
        <w:rPr>
          <w:b/>
          <w:bCs/>
        </w:rPr>
        <w:t>ajustes tarifarios más justos y focalizados</w:t>
      </w:r>
      <w:r w:rsidRPr="008E7DD2">
        <w:t>, considerando la distribución y concentración del consumo.</w:t>
      </w:r>
    </w:p>
    <w:p w14:paraId="4481DE6E" w14:textId="77777777" w:rsidR="008E7DD2" w:rsidRDefault="008E7DD2" w:rsidP="008E7DD2"/>
    <w:p w14:paraId="0ABB69F1" w14:textId="1C788356" w:rsidR="008E7DD2" w:rsidRPr="008E7DD2" w:rsidRDefault="008E7DD2" w:rsidP="008E7DD2">
      <w:pPr>
        <w:rPr>
          <w:b/>
          <w:bCs/>
        </w:rPr>
      </w:pPr>
      <w:r w:rsidRPr="008E7DD2">
        <w:rPr>
          <w:b/>
          <w:bCs/>
        </w:rPr>
        <w:t>Referencias de la base de datos</w:t>
      </w:r>
    </w:p>
    <w:p w14:paraId="0704588E" w14:textId="62C24AB2" w:rsidR="008E7DD2" w:rsidRPr="008E7DD2" w:rsidRDefault="008E7DD2" w:rsidP="008E7DD2">
      <w:r w:rsidRPr="008E7DD2">
        <w:t>https://aresep.go.cr/datos-abiertos/mercado-servicios-agua/</w:t>
      </w:r>
    </w:p>
    <w:p w14:paraId="76FCF4D4" w14:textId="77777777" w:rsidR="0020415D" w:rsidRDefault="0020415D"/>
    <w:sectPr w:rsidR="0020415D" w:rsidSect="00CF34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E6E07"/>
    <w:multiLevelType w:val="multilevel"/>
    <w:tmpl w:val="A8D8F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48591C"/>
    <w:multiLevelType w:val="multilevel"/>
    <w:tmpl w:val="9AC4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945292">
    <w:abstractNumId w:val="0"/>
  </w:num>
  <w:num w:numId="2" w16cid:durableId="421030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D2"/>
    <w:rsid w:val="0020415D"/>
    <w:rsid w:val="008E7DD2"/>
    <w:rsid w:val="00AD280C"/>
    <w:rsid w:val="00B25466"/>
    <w:rsid w:val="00CF3435"/>
    <w:rsid w:val="00EB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9172A"/>
  <w15:chartTrackingRefBased/>
  <w15:docId w15:val="{46FBDD4F-3388-4C30-8448-CF5B9038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7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7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7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7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7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7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7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7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7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D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7D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7D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7D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7D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7D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7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7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7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7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7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7D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7D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7D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7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7D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7D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GV</dc:creator>
  <cp:keywords/>
  <dc:description/>
  <cp:lastModifiedBy>Heidy GV</cp:lastModifiedBy>
  <cp:revision>1</cp:revision>
  <dcterms:created xsi:type="dcterms:W3CDTF">2025-06-27T22:32:00Z</dcterms:created>
  <dcterms:modified xsi:type="dcterms:W3CDTF">2025-06-27T22:37:00Z</dcterms:modified>
</cp:coreProperties>
</file>