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3C38A" w14:textId="77777777" w:rsidR="003C3F86" w:rsidRDefault="003C3F86" w:rsidP="003C3F86">
      <w:pPr>
        <w:ind w:left="0" w:firstLine="0"/>
        <w:jc w:val="center"/>
      </w:pPr>
    </w:p>
    <w:p w14:paraId="30F9F8E0" w14:textId="77777777" w:rsidR="003C3F86" w:rsidRDefault="003C3F86" w:rsidP="003C3F86">
      <w:pPr>
        <w:ind w:left="0" w:firstLine="0"/>
        <w:jc w:val="center"/>
      </w:pPr>
    </w:p>
    <w:p w14:paraId="62785CF8" w14:textId="77777777" w:rsidR="003C3F86" w:rsidRDefault="003C3F86" w:rsidP="003C3F86">
      <w:pPr>
        <w:ind w:left="0" w:firstLine="0"/>
        <w:jc w:val="center"/>
      </w:pPr>
    </w:p>
    <w:p w14:paraId="39D539FA" w14:textId="77777777" w:rsidR="003C3F86" w:rsidRDefault="003C3F86" w:rsidP="003C3F86">
      <w:pPr>
        <w:ind w:left="0" w:firstLine="0"/>
        <w:jc w:val="center"/>
        <w:rPr>
          <w:lang w:val="es-419"/>
        </w:rPr>
      </w:pPr>
    </w:p>
    <w:p w14:paraId="01C7706A" w14:textId="77777777" w:rsidR="003C3F86" w:rsidRDefault="003C3F86" w:rsidP="003C3F86">
      <w:pPr>
        <w:ind w:left="0" w:firstLine="0"/>
        <w:jc w:val="center"/>
      </w:pPr>
      <w:r>
        <w:rPr>
          <w:noProof/>
        </w:rPr>
        <w:drawing>
          <wp:inline distT="0" distB="0" distL="0" distR="0" wp14:anchorId="70F4CE7B" wp14:editId="7AA22C28">
            <wp:extent cx="3954780" cy="1066871"/>
            <wp:effectExtent l="0" t="0" r="7620" b="0"/>
            <wp:docPr id="1070045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45399" name="Imagen 1070045399"/>
                    <pic:cNvPicPr/>
                  </pic:nvPicPr>
                  <pic:blipFill rotWithShape="1">
                    <a:blip r:embed="rId8">
                      <a:extLst>
                        <a:ext uri="{28A0092B-C50C-407E-A947-70E740481C1C}">
                          <a14:useLocalDpi xmlns:a14="http://schemas.microsoft.com/office/drawing/2010/main" val="0"/>
                        </a:ext>
                      </a:extLst>
                    </a:blip>
                    <a:srcRect t="27892" b="28216"/>
                    <a:stretch>
                      <a:fillRect/>
                    </a:stretch>
                  </pic:blipFill>
                  <pic:spPr bwMode="auto">
                    <a:xfrm>
                      <a:off x="0" y="0"/>
                      <a:ext cx="3961264" cy="1068620"/>
                    </a:xfrm>
                    <a:prstGeom prst="rect">
                      <a:avLst/>
                    </a:prstGeom>
                    <a:ln>
                      <a:noFill/>
                    </a:ln>
                    <a:extLst>
                      <a:ext uri="{53640926-AAD7-44D8-BBD7-CCE9431645EC}">
                        <a14:shadowObscured xmlns:a14="http://schemas.microsoft.com/office/drawing/2010/main"/>
                      </a:ext>
                    </a:extLst>
                  </pic:spPr>
                </pic:pic>
              </a:graphicData>
            </a:graphic>
          </wp:inline>
        </w:drawing>
      </w:r>
    </w:p>
    <w:p w14:paraId="6A3A953A" w14:textId="77777777" w:rsidR="003C3F86" w:rsidRPr="003C3F86" w:rsidRDefault="003C3F86" w:rsidP="003C3F86">
      <w:pPr>
        <w:ind w:left="0" w:firstLine="0"/>
        <w:jc w:val="center"/>
        <w:rPr>
          <w:b/>
          <w:bCs/>
        </w:rPr>
      </w:pPr>
      <w:r w:rsidRPr="003C3F86">
        <w:rPr>
          <w:b/>
          <w:bCs/>
        </w:rPr>
        <w:t xml:space="preserve">INF308-8 </w:t>
      </w:r>
    </w:p>
    <w:p w14:paraId="7C1E6D24" w14:textId="364E05A0" w:rsidR="003C3F86" w:rsidRDefault="003C3F86" w:rsidP="003C3F86">
      <w:pPr>
        <w:ind w:left="0" w:firstLine="0"/>
        <w:jc w:val="center"/>
      </w:pPr>
      <w:r w:rsidRPr="003C3F86">
        <w:t>Investigación “Transición de Modelos Relacionales a NoSQL</w:t>
      </w:r>
    </w:p>
    <w:p w14:paraId="03CD6E53" w14:textId="427420E3" w:rsidR="003C3F86" w:rsidRDefault="003C3F86" w:rsidP="003C3F86">
      <w:pPr>
        <w:ind w:left="0" w:firstLine="0"/>
        <w:jc w:val="center"/>
      </w:pPr>
      <w:r>
        <w:t>Leisy Taisha Tathum Ramos- 42411056</w:t>
      </w:r>
    </w:p>
    <w:p w14:paraId="7B0E2B62" w14:textId="77777777" w:rsidR="003C3F86" w:rsidRDefault="003C3F86" w:rsidP="003C3F86">
      <w:pPr>
        <w:ind w:left="0" w:firstLine="0"/>
        <w:jc w:val="center"/>
      </w:pPr>
      <w:r>
        <w:t>Ingeniería en informática- Centro Universitario Tecnológico CEUTEC</w:t>
      </w:r>
    </w:p>
    <w:p w14:paraId="69A34882" w14:textId="77777777" w:rsidR="003C3F86" w:rsidRDefault="003C3F86" w:rsidP="003C3F86">
      <w:pPr>
        <w:ind w:left="0" w:firstLine="0"/>
        <w:jc w:val="center"/>
      </w:pPr>
      <w:r>
        <w:t>336-Administración De Base De Datos I</w:t>
      </w:r>
    </w:p>
    <w:p w14:paraId="38219172" w14:textId="77777777" w:rsidR="003C3F86" w:rsidRDefault="003C3F86" w:rsidP="003C3F86">
      <w:pPr>
        <w:ind w:left="0" w:firstLine="0"/>
        <w:jc w:val="center"/>
      </w:pPr>
      <w:r>
        <w:t>Ing. Reynaldo Cruz</w:t>
      </w:r>
    </w:p>
    <w:p w14:paraId="029926EA" w14:textId="18FCFAD0" w:rsidR="003C3F86" w:rsidRDefault="003C3F86" w:rsidP="003C3F86">
      <w:pPr>
        <w:ind w:left="0" w:firstLine="0"/>
        <w:jc w:val="center"/>
      </w:pPr>
      <w:r>
        <w:t>Noviembre 09, 2025</w:t>
      </w:r>
    </w:p>
    <w:p w14:paraId="3C2EB370" w14:textId="77777777" w:rsidR="003C3F86" w:rsidRDefault="003C3F86">
      <w:pPr>
        <w:spacing w:line="278" w:lineRule="auto"/>
        <w:ind w:left="0" w:firstLine="0"/>
      </w:pPr>
      <w:r>
        <w:br w:type="page"/>
      </w:r>
    </w:p>
    <w:sdt>
      <w:sdtPr>
        <w:rPr>
          <w:rFonts w:ascii="Times New Roman" w:eastAsiaTheme="minorHAnsi" w:hAnsi="Times New Roman" w:cstheme="minorBidi"/>
          <w:color w:val="auto"/>
          <w:kern w:val="2"/>
          <w:sz w:val="24"/>
          <w:szCs w:val="24"/>
          <w:lang w:val="es-MX" w:eastAsia="en-US"/>
          <w14:ligatures w14:val="standardContextual"/>
        </w:rPr>
        <w:id w:val="1832791198"/>
        <w:docPartObj>
          <w:docPartGallery w:val="Table of Contents"/>
          <w:docPartUnique/>
        </w:docPartObj>
      </w:sdtPr>
      <w:sdtEndPr>
        <w:rPr>
          <w:b/>
          <w:bCs/>
        </w:rPr>
      </w:sdtEndPr>
      <w:sdtContent>
        <w:p w14:paraId="5276122A" w14:textId="00E0440C" w:rsidR="00E76570" w:rsidRPr="00E76570" w:rsidRDefault="00E76570">
          <w:pPr>
            <w:pStyle w:val="TtuloTDC"/>
            <w:rPr>
              <w:rFonts w:ascii="Times New Roman" w:hAnsi="Times New Roman" w:cs="Times New Roman"/>
              <w:b/>
              <w:bCs/>
              <w:color w:val="auto"/>
              <w:sz w:val="24"/>
              <w:szCs w:val="24"/>
            </w:rPr>
          </w:pPr>
          <w:r w:rsidRPr="00E76570">
            <w:rPr>
              <w:rFonts w:ascii="Times New Roman" w:hAnsi="Times New Roman" w:cs="Times New Roman"/>
              <w:b/>
              <w:bCs/>
              <w:color w:val="auto"/>
              <w:sz w:val="24"/>
              <w:szCs w:val="24"/>
            </w:rPr>
            <w:t>Tabla de contenido</w:t>
          </w:r>
        </w:p>
        <w:p w14:paraId="65CDBA0D" w14:textId="79407416" w:rsidR="003400DF" w:rsidRDefault="00E76570">
          <w:pPr>
            <w:pStyle w:val="TDC1"/>
            <w:tabs>
              <w:tab w:val="right" w:leader="dot" w:pos="9352"/>
            </w:tabs>
            <w:rPr>
              <w:rFonts w:asciiTheme="minorHAnsi" w:eastAsiaTheme="minorEastAsia" w:hAnsiTheme="minorHAnsi"/>
              <w:noProof/>
              <w:lang w:eastAsia="es-HN"/>
            </w:rPr>
          </w:pPr>
          <w:r>
            <w:fldChar w:fldCharType="begin"/>
          </w:r>
          <w:r>
            <w:instrText xml:space="preserve"> TOC \o "1-3" \h \z \u </w:instrText>
          </w:r>
          <w:r>
            <w:fldChar w:fldCharType="separate"/>
          </w:r>
          <w:hyperlink w:anchor="_Toc213509145" w:history="1">
            <w:r w:rsidR="003400DF" w:rsidRPr="00980FA4">
              <w:rPr>
                <w:rStyle w:val="Hipervnculo"/>
                <w:noProof/>
                <w:lang w:val="es-419"/>
              </w:rPr>
              <w:t>Introducción</w:t>
            </w:r>
            <w:r w:rsidR="003400DF">
              <w:rPr>
                <w:noProof/>
                <w:webHidden/>
              </w:rPr>
              <w:tab/>
            </w:r>
            <w:r w:rsidR="003400DF">
              <w:rPr>
                <w:noProof/>
                <w:webHidden/>
              </w:rPr>
              <w:fldChar w:fldCharType="begin"/>
            </w:r>
            <w:r w:rsidR="003400DF">
              <w:rPr>
                <w:noProof/>
                <w:webHidden/>
              </w:rPr>
              <w:instrText xml:space="preserve"> PAGEREF _Toc213509145 \h </w:instrText>
            </w:r>
            <w:r w:rsidR="003400DF">
              <w:rPr>
                <w:noProof/>
                <w:webHidden/>
              </w:rPr>
            </w:r>
            <w:r w:rsidR="003400DF">
              <w:rPr>
                <w:noProof/>
                <w:webHidden/>
              </w:rPr>
              <w:fldChar w:fldCharType="separate"/>
            </w:r>
            <w:r w:rsidR="003400DF">
              <w:rPr>
                <w:noProof/>
                <w:webHidden/>
              </w:rPr>
              <w:t>2</w:t>
            </w:r>
            <w:r w:rsidR="003400DF">
              <w:rPr>
                <w:noProof/>
                <w:webHidden/>
              </w:rPr>
              <w:fldChar w:fldCharType="end"/>
            </w:r>
          </w:hyperlink>
        </w:p>
        <w:p w14:paraId="20677438" w14:textId="30DD3C08" w:rsidR="003400DF" w:rsidRDefault="003400DF">
          <w:pPr>
            <w:pStyle w:val="TDC1"/>
            <w:tabs>
              <w:tab w:val="right" w:leader="dot" w:pos="9352"/>
            </w:tabs>
            <w:rPr>
              <w:rFonts w:asciiTheme="minorHAnsi" w:eastAsiaTheme="minorEastAsia" w:hAnsiTheme="minorHAnsi"/>
              <w:noProof/>
              <w:lang w:eastAsia="es-HN"/>
            </w:rPr>
          </w:pPr>
          <w:hyperlink w:anchor="_Toc213509146" w:history="1">
            <w:r w:rsidRPr="00980FA4">
              <w:rPr>
                <w:rStyle w:val="Hipervnculo"/>
                <w:noProof/>
                <w:lang w:val="es-419"/>
              </w:rPr>
              <w:t>Objetivos</w:t>
            </w:r>
            <w:r>
              <w:rPr>
                <w:noProof/>
                <w:webHidden/>
              </w:rPr>
              <w:tab/>
            </w:r>
            <w:r>
              <w:rPr>
                <w:noProof/>
                <w:webHidden/>
              </w:rPr>
              <w:fldChar w:fldCharType="begin"/>
            </w:r>
            <w:r>
              <w:rPr>
                <w:noProof/>
                <w:webHidden/>
              </w:rPr>
              <w:instrText xml:space="preserve"> PAGEREF _Toc213509146 \h </w:instrText>
            </w:r>
            <w:r>
              <w:rPr>
                <w:noProof/>
                <w:webHidden/>
              </w:rPr>
            </w:r>
            <w:r>
              <w:rPr>
                <w:noProof/>
                <w:webHidden/>
              </w:rPr>
              <w:fldChar w:fldCharType="separate"/>
            </w:r>
            <w:r>
              <w:rPr>
                <w:noProof/>
                <w:webHidden/>
              </w:rPr>
              <w:t>3</w:t>
            </w:r>
            <w:r>
              <w:rPr>
                <w:noProof/>
                <w:webHidden/>
              </w:rPr>
              <w:fldChar w:fldCharType="end"/>
            </w:r>
          </w:hyperlink>
        </w:p>
        <w:p w14:paraId="3BE2469C" w14:textId="7BBE4C8C" w:rsidR="003400DF" w:rsidRDefault="003400DF">
          <w:pPr>
            <w:pStyle w:val="TDC1"/>
            <w:tabs>
              <w:tab w:val="right" w:leader="dot" w:pos="9352"/>
            </w:tabs>
            <w:rPr>
              <w:rFonts w:asciiTheme="minorHAnsi" w:eastAsiaTheme="minorEastAsia" w:hAnsiTheme="minorHAnsi"/>
              <w:noProof/>
              <w:lang w:eastAsia="es-HN"/>
            </w:rPr>
          </w:pPr>
          <w:hyperlink w:anchor="_Toc213509147" w:history="1">
            <w:r w:rsidRPr="00980FA4">
              <w:rPr>
                <w:rStyle w:val="Hipervnculo"/>
                <w:noProof/>
                <w:lang w:val="es-419"/>
              </w:rPr>
              <w:t>Marco Teórico</w:t>
            </w:r>
            <w:r>
              <w:rPr>
                <w:noProof/>
                <w:webHidden/>
              </w:rPr>
              <w:tab/>
            </w:r>
            <w:r>
              <w:rPr>
                <w:noProof/>
                <w:webHidden/>
              </w:rPr>
              <w:fldChar w:fldCharType="begin"/>
            </w:r>
            <w:r>
              <w:rPr>
                <w:noProof/>
                <w:webHidden/>
              </w:rPr>
              <w:instrText xml:space="preserve"> PAGEREF _Toc213509147 \h </w:instrText>
            </w:r>
            <w:r>
              <w:rPr>
                <w:noProof/>
                <w:webHidden/>
              </w:rPr>
            </w:r>
            <w:r>
              <w:rPr>
                <w:noProof/>
                <w:webHidden/>
              </w:rPr>
              <w:fldChar w:fldCharType="separate"/>
            </w:r>
            <w:r>
              <w:rPr>
                <w:noProof/>
                <w:webHidden/>
              </w:rPr>
              <w:t>4</w:t>
            </w:r>
            <w:r>
              <w:rPr>
                <w:noProof/>
                <w:webHidden/>
              </w:rPr>
              <w:fldChar w:fldCharType="end"/>
            </w:r>
          </w:hyperlink>
        </w:p>
        <w:p w14:paraId="72BBA656" w14:textId="5B8B3A01" w:rsidR="003400DF" w:rsidRDefault="003400DF">
          <w:pPr>
            <w:pStyle w:val="TDC1"/>
            <w:tabs>
              <w:tab w:val="right" w:leader="dot" w:pos="9352"/>
            </w:tabs>
            <w:rPr>
              <w:rFonts w:asciiTheme="minorHAnsi" w:eastAsiaTheme="minorEastAsia" w:hAnsiTheme="minorHAnsi"/>
              <w:noProof/>
              <w:lang w:eastAsia="es-HN"/>
            </w:rPr>
          </w:pPr>
          <w:hyperlink w:anchor="_Toc213509148" w:history="1">
            <w:r w:rsidRPr="00980FA4">
              <w:rPr>
                <w:rStyle w:val="Hipervnculo"/>
                <w:noProof/>
                <w:lang w:val="es-419"/>
              </w:rPr>
              <w:t>Conclusiones</w:t>
            </w:r>
            <w:r>
              <w:rPr>
                <w:noProof/>
                <w:webHidden/>
              </w:rPr>
              <w:tab/>
            </w:r>
            <w:r>
              <w:rPr>
                <w:noProof/>
                <w:webHidden/>
              </w:rPr>
              <w:fldChar w:fldCharType="begin"/>
            </w:r>
            <w:r>
              <w:rPr>
                <w:noProof/>
                <w:webHidden/>
              </w:rPr>
              <w:instrText xml:space="preserve"> PAGEREF _Toc213509148 \h </w:instrText>
            </w:r>
            <w:r>
              <w:rPr>
                <w:noProof/>
                <w:webHidden/>
              </w:rPr>
            </w:r>
            <w:r>
              <w:rPr>
                <w:noProof/>
                <w:webHidden/>
              </w:rPr>
              <w:fldChar w:fldCharType="separate"/>
            </w:r>
            <w:r>
              <w:rPr>
                <w:noProof/>
                <w:webHidden/>
              </w:rPr>
              <w:t>10</w:t>
            </w:r>
            <w:r>
              <w:rPr>
                <w:noProof/>
                <w:webHidden/>
              </w:rPr>
              <w:fldChar w:fldCharType="end"/>
            </w:r>
          </w:hyperlink>
        </w:p>
        <w:p w14:paraId="23E91F04" w14:textId="4FAAA723" w:rsidR="003400DF" w:rsidRDefault="003400DF">
          <w:pPr>
            <w:pStyle w:val="TDC1"/>
            <w:tabs>
              <w:tab w:val="right" w:leader="dot" w:pos="9352"/>
            </w:tabs>
            <w:rPr>
              <w:rFonts w:asciiTheme="minorHAnsi" w:eastAsiaTheme="minorEastAsia" w:hAnsiTheme="minorHAnsi"/>
              <w:noProof/>
              <w:lang w:eastAsia="es-HN"/>
            </w:rPr>
          </w:pPr>
          <w:hyperlink w:anchor="_Toc213509149" w:history="1">
            <w:r w:rsidRPr="00980FA4">
              <w:rPr>
                <w:rStyle w:val="Hipervnculo"/>
                <w:noProof/>
                <w:lang w:val="es-MX"/>
              </w:rPr>
              <w:t>Referencias</w:t>
            </w:r>
            <w:r>
              <w:rPr>
                <w:noProof/>
                <w:webHidden/>
              </w:rPr>
              <w:tab/>
            </w:r>
            <w:r>
              <w:rPr>
                <w:noProof/>
                <w:webHidden/>
              </w:rPr>
              <w:fldChar w:fldCharType="begin"/>
            </w:r>
            <w:r>
              <w:rPr>
                <w:noProof/>
                <w:webHidden/>
              </w:rPr>
              <w:instrText xml:space="preserve"> PAGEREF _Toc213509149 \h </w:instrText>
            </w:r>
            <w:r>
              <w:rPr>
                <w:noProof/>
                <w:webHidden/>
              </w:rPr>
            </w:r>
            <w:r>
              <w:rPr>
                <w:noProof/>
                <w:webHidden/>
              </w:rPr>
              <w:fldChar w:fldCharType="separate"/>
            </w:r>
            <w:r>
              <w:rPr>
                <w:noProof/>
                <w:webHidden/>
              </w:rPr>
              <w:t>11</w:t>
            </w:r>
            <w:r>
              <w:rPr>
                <w:noProof/>
                <w:webHidden/>
              </w:rPr>
              <w:fldChar w:fldCharType="end"/>
            </w:r>
          </w:hyperlink>
        </w:p>
        <w:p w14:paraId="16A3C8CD" w14:textId="415793FA" w:rsidR="00E76570" w:rsidRDefault="00E76570">
          <w:r>
            <w:rPr>
              <w:b/>
              <w:bCs/>
              <w:lang w:val="es-MX"/>
            </w:rPr>
            <w:fldChar w:fldCharType="end"/>
          </w:r>
        </w:p>
      </w:sdtContent>
    </w:sdt>
    <w:p w14:paraId="738E85E6" w14:textId="77777777" w:rsidR="003C3F86" w:rsidRDefault="003C3F86" w:rsidP="00E76570">
      <w:pPr>
        <w:rPr>
          <w:lang w:val="es-419"/>
        </w:rPr>
      </w:pPr>
      <w:r>
        <w:rPr>
          <w:lang w:val="es-419"/>
        </w:rPr>
        <w:br w:type="page"/>
      </w:r>
    </w:p>
    <w:p w14:paraId="54675B75" w14:textId="4EA341AC" w:rsidR="003C3F86" w:rsidRDefault="003C3F86" w:rsidP="003C3F86">
      <w:pPr>
        <w:pStyle w:val="Ttulo1"/>
        <w:rPr>
          <w:lang w:val="es-419"/>
        </w:rPr>
      </w:pPr>
      <w:bookmarkStart w:id="0" w:name="_Toc213509145"/>
      <w:r>
        <w:rPr>
          <w:lang w:val="es-419"/>
        </w:rPr>
        <w:lastRenderedPageBreak/>
        <w:t>Introducción</w:t>
      </w:r>
      <w:bookmarkEnd w:id="0"/>
      <w:r>
        <w:rPr>
          <w:lang w:val="es-419"/>
        </w:rPr>
        <w:t xml:space="preserve"> </w:t>
      </w:r>
    </w:p>
    <w:p w14:paraId="61B3556F" w14:textId="77777777" w:rsidR="00E84DBF" w:rsidRDefault="00E84DBF" w:rsidP="00E84DBF">
      <w:pPr>
        <w:rPr>
          <w:lang w:val="es-419"/>
        </w:rPr>
      </w:pPr>
      <w:r w:rsidRPr="00E84DBF">
        <w:rPr>
          <w:lang w:val="es-419"/>
        </w:rPr>
        <w:t xml:space="preserve">El presente informe analiza la transición de bases de datos relacionales a NoSQL ante el incremento de grandes volúmenes de información, destacando las limitaciones de escalabilidad, flexibilidad y manejo de datos no estructurados de los modelos relacionales. Se propone NoSQL como una solución distribuida, escalable y orientada al rendimiento, y se enfatiza que este cambio implica una migración técnica junto con una reestructuración conceptual de la modelación y gestión de la información. </w:t>
      </w:r>
    </w:p>
    <w:p w14:paraId="681B4C28" w14:textId="361AE492" w:rsidR="003C3F86" w:rsidRDefault="00E84DBF" w:rsidP="00E84DBF">
      <w:pPr>
        <w:rPr>
          <w:lang w:val="es-419"/>
        </w:rPr>
      </w:pPr>
      <w:r w:rsidRPr="00E84DBF">
        <w:rPr>
          <w:lang w:val="es-419"/>
        </w:rPr>
        <w:t>Además, se propone un marco para analizar el proceso de transición, y las consideraciones necesarias para lograr migraciones efectivas en entornos empresariales y de desarrollo.</w:t>
      </w:r>
    </w:p>
    <w:p w14:paraId="7F6B498A" w14:textId="77777777" w:rsidR="00E84DBF" w:rsidRDefault="00E84DBF" w:rsidP="00E84DBF">
      <w:pPr>
        <w:ind w:left="0" w:firstLine="0"/>
        <w:rPr>
          <w:lang w:val="es-419"/>
        </w:rPr>
      </w:pPr>
    </w:p>
    <w:p w14:paraId="2A403EF7" w14:textId="77777777" w:rsidR="00E84DBF" w:rsidRDefault="00E84DBF" w:rsidP="00E84DBF">
      <w:pPr>
        <w:ind w:left="0" w:firstLine="0"/>
        <w:rPr>
          <w:lang w:val="es-419"/>
        </w:rPr>
      </w:pPr>
    </w:p>
    <w:p w14:paraId="03938D81" w14:textId="77777777" w:rsidR="00E84DBF" w:rsidRDefault="00E84DBF" w:rsidP="00E84DBF">
      <w:pPr>
        <w:ind w:left="0" w:firstLine="0"/>
        <w:rPr>
          <w:lang w:val="es-419"/>
        </w:rPr>
      </w:pPr>
    </w:p>
    <w:p w14:paraId="60A39C70" w14:textId="77777777" w:rsidR="00E84DBF" w:rsidRDefault="00E84DBF" w:rsidP="00E84DBF">
      <w:pPr>
        <w:ind w:left="0" w:firstLine="0"/>
        <w:rPr>
          <w:lang w:val="es-419"/>
        </w:rPr>
      </w:pPr>
    </w:p>
    <w:p w14:paraId="120D29EF" w14:textId="77777777" w:rsidR="00E84DBF" w:rsidRDefault="00E84DBF" w:rsidP="00E84DBF">
      <w:pPr>
        <w:ind w:left="0" w:firstLine="0"/>
        <w:rPr>
          <w:lang w:val="es-419"/>
        </w:rPr>
      </w:pPr>
    </w:p>
    <w:p w14:paraId="58E4EABE" w14:textId="77777777" w:rsidR="00E84DBF" w:rsidRDefault="00E84DBF" w:rsidP="00E84DBF">
      <w:pPr>
        <w:ind w:left="0" w:firstLine="0"/>
        <w:rPr>
          <w:lang w:val="es-419"/>
        </w:rPr>
      </w:pPr>
    </w:p>
    <w:p w14:paraId="2F24485B" w14:textId="77777777" w:rsidR="00E84DBF" w:rsidRDefault="00E84DBF" w:rsidP="00E84DBF">
      <w:pPr>
        <w:ind w:left="0" w:firstLine="0"/>
        <w:rPr>
          <w:lang w:val="es-419"/>
        </w:rPr>
      </w:pPr>
    </w:p>
    <w:p w14:paraId="2B217416" w14:textId="77777777" w:rsidR="00E84DBF" w:rsidRDefault="00E84DBF" w:rsidP="00E84DBF">
      <w:pPr>
        <w:ind w:left="0" w:firstLine="0"/>
        <w:rPr>
          <w:lang w:val="es-419"/>
        </w:rPr>
      </w:pPr>
    </w:p>
    <w:p w14:paraId="1AED2EF9" w14:textId="77777777" w:rsidR="00E84DBF" w:rsidRDefault="00E84DBF" w:rsidP="00E84DBF">
      <w:pPr>
        <w:ind w:left="0" w:firstLine="0"/>
        <w:rPr>
          <w:lang w:val="es-419"/>
        </w:rPr>
      </w:pPr>
    </w:p>
    <w:p w14:paraId="13E9AE21" w14:textId="77777777" w:rsidR="00E84DBF" w:rsidRDefault="00E84DBF" w:rsidP="00E84DBF">
      <w:pPr>
        <w:ind w:left="0" w:firstLine="0"/>
        <w:rPr>
          <w:lang w:val="es-419"/>
        </w:rPr>
      </w:pPr>
    </w:p>
    <w:p w14:paraId="33152E70" w14:textId="4E7071D6" w:rsidR="003C3F86" w:rsidRDefault="003C3F86" w:rsidP="003C3F86">
      <w:pPr>
        <w:pStyle w:val="Ttulo1"/>
        <w:rPr>
          <w:lang w:val="es-419"/>
        </w:rPr>
      </w:pPr>
      <w:bookmarkStart w:id="1" w:name="_Toc213509146"/>
      <w:r>
        <w:rPr>
          <w:lang w:val="es-419"/>
        </w:rPr>
        <w:lastRenderedPageBreak/>
        <w:t>Objetivos</w:t>
      </w:r>
      <w:bookmarkEnd w:id="1"/>
    </w:p>
    <w:p w14:paraId="1F660E33" w14:textId="011FD999" w:rsidR="00F26F38" w:rsidRDefault="00F26F38" w:rsidP="00F26F38">
      <w:pPr>
        <w:pStyle w:val="Subttulo"/>
      </w:pPr>
      <w:r>
        <w:t>Objetivo General</w:t>
      </w:r>
    </w:p>
    <w:p w14:paraId="3C0842DB" w14:textId="5FB9041F" w:rsidR="00BF10C4" w:rsidRPr="00BF10C4" w:rsidRDefault="00BF10C4" w:rsidP="00BF10C4">
      <w:pPr>
        <w:rPr>
          <w:lang w:val="es-419"/>
        </w:rPr>
      </w:pPr>
      <w:r w:rsidRPr="00BF10C4">
        <w:rPr>
          <w:lang w:val="es-419"/>
        </w:rPr>
        <w:t>Analizar el proceso de migración de bases de datos relacionales a modelos NoSQL, identificando los pasos, beneficios y desafíos que conlleva la transición para mejorar la eficiencia y escalabilidad en la gestión de datos.</w:t>
      </w:r>
    </w:p>
    <w:p w14:paraId="0F7B73D6" w14:textId="4F6EA067" w:rsidR="00F26F38" w:rsidRDefault="00F26F38" w:rsidP="00F26F38">
      <w:pPr>
        <w:pStyle w:val="Subttulo"/>
      </w:pPr>
      <w:r>
        <w:t xml:space="preserve">Objetivos Específicos </w:t>
      </w:r>
    </w:p>
    <w:p w14:paraId="3419045F" w14:textId="672A751C" w:rsidR="00843B0D" w:rsidRDefault="00843B0D" w:rsidP="00843B0D">
      <w:pPr>
        <w:pStyle w:val="Prrafodelista"/>
        <w:numPr>
          <w:ilvl w:val="0"/>
          <w:numId w:val="6"/>
        </w:numPr>
      </w:pPr>
      <w:r>
        <w:t>Describir las principales diferencias entre los modelos relacionales y los sistemas de bases de datos NoSQL.</w:t>
      </w:r>
    </w:p>
    <w:p w14:paraId="55406B31" w14:textId="2F12CCD7" w:rsidR="00843B0D" w:rsidRDefault="00843B0D" w:rsidP="00843B0D">
      <w:pPr>
        <w:pStyle w:val="Prrafodelista"/>
        <w:numPr>
          <w:ilvl w:val="0"/>
          <w:numId w:val="6"/>
        </w:numPr>
      </w:pPr>
      <w:r>
        <w:t>Explicar los pasos y estrategias necesarias para realizar una migración exitosa de SQL a NoSQL.</w:t>
      </w:r>
    </w:p>
    <w:p w14:paraId="49ED6B08" w14:textId="235D2B2B" w:rsidR="00BF10C4" w:rsidRPr="00843B0D" w:rsidRDefault="00843B0D" w:rsidP="00843B0D">
      <w:pPr>
        <w:pStyle w:val="Prrafodelista"/>
        <w:numPr>
          <w:ilvl w:val="0"/>
          <w:numId w:val="6"/>
        </w:numPr>
      </w:pPr>
      <w:r>
        <w:t>Identificar las ventajas y posibles limitaciones que implica la adopción de una base de datos NoSQL en comparación con las relacionales.</w:t>
      </w:r>
    </w:p>
    <w:p w14:paraId="0CB62D32" w14:textId="023A1670" w:rsidR="003C3F86" w:rsidRDefault="003C3F86" w:rsidP="003C3F86">
      <w:pPr>
        <w:rPr>
          <w:lang w:val="es-419"/>
        </w:rPr>
      </w:pPr>
    </w:p>
    <w:p w14:paraId="097B6915" w14:textId="77777777" w:rsidR="003C3F86" w:rsidRDefault="003C3F86">
      <w:pPr>
        <w:spacing w:line="278" w:lineRule="auto"/>
        <w:ind w:left="0" w:firstLine="0"/>
        <w:rPr>
          <w:lang w:val="es-419"/>
        </w:rPr>
      </w:pPr>
      <w:r>
        <w:rPr>
          <w:lang w:val="es-419"/>
        </w:rPr>
        <w:br w:type="page"/>
      </w:r>
    </w:p>
    <w:p w14:paraId="7CB33661" w14:textId="2F2D878D" w:rsidR="003C3F86" w:rsidRDefault="003C3F86" w:rsidP="003C3F86">
      <w:pPr>
        <w:pStyle w:val="Ttulo1"/>
        <w:rPr>
          <w:lang w:val="es-419"/>
        </w:rPr>
      </w:pPr>
      <w:bookmarkStart w:id="2" w:name="_Toc213509147"/>
      <w:r>
        <w:rPr>
          <w:lang w:val="es-419"/>
        </w:rPr>
        <w:lastRenderedPageBreak/>
        <w:t>Marco Teórico</w:t>
      </w:r>
      <w:bookmarkEnd w:id="2"/>
      <w:r>
        <w:rPr>
          <w:lang w:val="es-419"/>
        </w:rPr>
        <w:t xml:space="preserve"> </w:t>
      </w:r>
    </w:p>
    <w:p w14:paraId="1DF894AF" w14:textId="77777777" w:rsidR="003C3F86" w:rsidRDefault="003C3F86" w:rsidP="003C3F86">
      <w:pPr>
        <w:rPr>
          <w:b/>
          <w:bCs/>
          <w:u w:val="single"/>
          <w:lang w:val="es-419"/>
        </w:rPr>
      </w:pPr>
      <w:r w:rsidRPr="003C3F86">
        <w:rPr>
          <w:b/>
          <w:bCs/>
          <w:u w:val="single"/>
        </w:rPr>
        <w:t xml:space="preserve">Migración de SQL a NoSQL </w:t>
      </w:r>
      <w:proofErr w:type="spellStart"/>
      <w:r w:rsidRPr="003C3F86">
        <w:rPr>
          <w:b/>
          <w:bCs/>
          <w:u w:val="single"/>
        </w:rPr>
        <w:t>Databases</w:t>
      </w:r>
      <w:proofErr w:type="spellEnd"/>
    </w:p>
    <w:p w14:paraId="5435CC83" w14:textId="71E8906F" w:rsidR="003C3654" w:rsidRDefault="003C3654" w:rsidP="003C3654">
      <w:pPr>
        <w:rPr>
          <w:lang w:val="es-419"/>
        </w:rPr>
      </w:pPr>
      <w:r w:rsidRPr="003C3654">
        <w:rPr>
          <w:lang w:val="es-419"/>
        </w:rPr>
        <w:t xml:space="preserve">El uso de una base de datos relacional en sus aplicaciones .NET tiene algunas limitaciones, como su incapacidad para manejar más carga sin reemplazar el hardware existente (ampliación) y su incapacidad para actualizar su modelo de datos rígido, es decir, filas y columnas. </w:t>
      </w:r>
    </w:p>
    <w:p w14:paraId="4DC74D2D" w14:textId="77777777" w:rsidR="003C3654" w:rsidRPr="003C3654" w:rsidRDefault="003C3654" w:rsidP="003C3654">
      <w:pPr>
        <w:rPr>
          <w:b/>
          <w:bCs/>
        </w:rPr>
      </w:pPr>
      <w:r w:rsidRPr="003C3654">
        <w:rPr>
          <w:b/>
          <w:bCs/>
        </w:rPr>
        <w:t xml:space="preserve">Figura </w:t>
      </w:r>
      <w:r w:rsidRPr="003C3654">
        <w:rPr>
          <w:b/>
          <w:bCs/>
        </w:rPr>
        <w:fldChar w:fldCharType="begin"/>
      </w:r>
      <w:r w:rsidRPr="003C3654">
        <w:rPr>
          <w:b/>
          <w:bCs/>
        </w:rPr>
        <w:instrText xml:space="preserve"> SEQ Figura \* ARABIC </w:instrText>
      </w:r>
      <w:r w:rsidRPr="003C3654">
        <w:rPr>
          <w:b/>
          <w:bCs/>
        </w:rPr>
        <w:fldChar w:fldCharType="separate"/>
      </w:r>
      <w:r w:rsidRPr="003C3654">
        <w:rPr>
          <w:b/>
          <w:bCs/>
          <w:noProof/>
        </w:rPr>
        <w:t>1</w:t>
      </w:r>
      <w:r w:rsidRPr="003C3654">
        <w:rPr>
          <w:b/>
          <w:bCs/>
        </w:rPr>
        <w:fldChar w:fldCharType="end"/>
      </w:r>
      <w:r w:rsidRPr="003C3654">
        <w:rPr>
          <w:b/>
          <w:bCs/>
        </w:rPr>
        <w:t xml:space="preserve"> </w:t>
      </w:r>
    </w:p>
    <w:p w14:paraId="38821A45" w14:textId="5BCFCBB9" w:rsidR="003C3654" w:rsidRPr="003C3654" w:rsidRDefault="003C3654" w:rsidP="003C3654">
      <w:pPr>
        <w:rPr>
          <w:i/>
          <w:iCs/>
        </w:rPr>
      </w:pPr>
      <w:r w:rsidRPr="003C3654">
        <w:rPr>
          <w:i/>
          <w:iCs/>
        </w:rPr>
        <w:t>Pasos para migrar datos de una base de datos relacional a NoSQL</w:t>
      </w:r>
    </w:p>
    <w:p w14:paraId="6CAED8A7" w14:textId="77777777" w:rsidR="003C3654" w:rsidRDefault="003C3654" w:rsidP="003C3654">
      <w:pPr>
        <w:jc w:val="center"/>
        <w:rPr>
          <w:lang w:val="es-419"/>
        </w:rPr>
      </w:pPr>
      <w:r>
        <w:rPr>
          <w:noProof/>
          <w:lang w:val="es-419"/>
        </w:rPr>
        <w:drawing>
          <wp:inline distT="0" distB="0" distL="0" distR="0" wp14:anchorId="4CF4B767" wp14:editId="41293C27">
            <wp:extent cx="3028950" cy="3248025"/>
            <wp:effectExtent l="0" t="0" r="0" b="9525"/>
            <wp:docPr id="1727891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28950" cy="3248025"/>
                    </a:xfrm>
                    <a:prstGeom prst="rect">
                      <a:avLst/>
                    </a:prstGeom>
                    <a:noFill/>
                  </pic:spPr>
                </pic:pic>
              </a:graphicData>
            </a:graphic>
          </wp:inline>
        </w:drawing>
      </w:r>
    </w:p>
    <w:p w14:paraId="324AAA38" w14:textId="77777777" w:rsidR="003C3654" w:rsidRDefault="003C3654" w:rsidP="003C3654">
      <w:pPr>
        <w:rPr>
          <w:lang w:val="es-419"/>
        </w:rPr>
      </w:pPr>
      <w:r w:rsidRPr="00510538">
        <w:rPr>
          <w:i/>
          <w:iCs/>
          <w:lang w:val="es-419"/>
        </w:rPr>
        <w:t>Nota.</w:t>
      </w:r>
      <w:r>
        <w:rPr>
          <w:lang w:val="es-419"/>
        </w:rPr>
        <w:t xml:space="preserve"> </w:t>
      </w:r>
      <w:r w:rsidRPr="003C3654">
        <w:rPr>
          <w:lang w:val="es-419"/>
        </w:rPr>
        <w:t>Pasos para migrar datos de una base de datos relacional a NoSQL</w:t>
      </w:r>
      <w:r>
        <w:rPr>
          <w:lang w:val="es-419"/>
        </w:rPr>
        <w:t xml:space="preserve">, </w:t>
      </w:r>
      <w:proofErr w:type="spellStart"/>
      <w:r w:rsidRPr="003C3654">
        <w:rPr>
          <w:lang w:val="es-419"/>
        </w:rPr>
        <w:t>NCache</w:t>
      </w:r>
      <w:proofErr w:type="spellEnd"/>
      <w:r w:rsidRPr="003C3654">
        <w:rPr>
          <w:lang w:val="es-419"/>
        </w:rPr>
        <w:t xml:space="preserve"> </w:t>
      </w:r>
      <w:proofErr w:type="spellStart"/>
      <w:r w:rsidRPr="003C3654">
        <w:rPr>
          <w:lang w:val="es-419"/>
        </w:rPr>
        <w:t>by</w:t>
      </w:r>
      <w:proofErr w:type="spellEnd"/>
      <w:r w:rsidRPr="003C3654">
        <w:rPr>
          <w:lang w:val="es-419"/>
        </w:rPr>
        <w:t xml:space="preserve"> </w:t>
      </w:r>
      <w:proofErr w:type="spellStart"/>
      <w:r w:rsidRPr="003C3654">
        <w:rPr>
          <w:lang w:val="es-419"/>
        </w:rPr>
        <w:t>Alachisoft</w:t>
      </w:r>
      <w:proofErr w:type="spellEnd"/>
      <w:r>
        <w:rPr>
          <w:lang w:val="es-419"/>
        </w:rPr>
        <w:t>, 2025.</w:t>
      </w:r>
    </w:p>
    <w:p w14:paraId="06BFCF30" w14:textId="77777777" w:rsidR="003C3654" w:rsidRDefault="003C3654" w:rsidP="003C3654">
      <w:pPr>
        <w:rPr>
          <w:lang w:val="es-419"/>
        </w:rPr>
      </w:pPr>
    </w:p>
    <w:p w14:paraId="3E01C571" w14:textId="77777777" w:rsidR="003C3654" w:rsidRDefault="003C3654">
      <w:pPr>
        <w:spacing w:line="278" w:lineRule="auto"/>
        <w:ind w:left="0" w:firstLine="0"/>
        <w:rPr>
          <w:lang w:val="es-419"/>
        </w:rPr>
      </w:pPr>
      <w:r>
        <w:rPr>
          <w:lang w:val="es-419"/>
        </w:rPr>
        <w:br w:type="page"/>
      </w:r>
    </w:p>
    <w:p w14:paraId="599E43CD" w14:textId="24E5C26E" w:rsidR="003C3654" w:rsidRPr="00E76570" w:rsidRDefault="003C3654" w:rsidP="00E76570">
      <w:pPr>
        <w:pStyle w:val="Prrafodelista"/>
        <w:numPr>
          <w:ilvl w:val="0"/>
          <w:numId w:val="4"/>
        </w:numPr>
        <w:rPr>
          <w:b/>
          <w:bCs/>
          <w:lang w:val="es-419"/>
        </w:rPr>
      </w:pPr>
      <w:r w:rsidRPr="00E76570">
        <w:rPr>
          <w:b/>
          <w:bCs/>
          <w:lang w:val="es-419"/>
        </w:rPr>
        <w:lastRenderedPageBreak/>
        <w:t xml:space="preserve">Paso </w:t>
      </w:r>
      <w:r w:rsidR="001637E2" w:rsidRPr="00E76570">
        <w:rPr>
          <w:b/>
          <w:bCs/>
          <w:lang w:val="es-419"/>
        </w:rPr>
        <w:t>1: Identificar El Alcance</w:t>
      </w:r>
    </w:p>
    <w:p w14:paraId="37EBDF33" w14:textId="17D111B9" w:rsidR="003C3654" w:rsidRPr="003C3654" w:rsidRDefault="003C3654" w:rsidP="003C3654">
      <w:pPr>
        <w:rPr>
          <w:lang w:val="es-419"/>
        </w:rPr>
      </w:pPr>
      <w:r>
        <w:rPr>
          <w:lang w:val="es-419"/>
        </w:rPr>
        <w:t>C</w:t>
      </w:r>
      <w:r w:rsidRPr="003C3654">
        <w:rPr>
          <w:lang w:val="es-419"/>
        </w:rPr>
        <w:t>omprender el modelo de negocio y el esquema de la base de datos. También deberá comprender por completo cómo su aplicación accede a estos datos y el flujo de datos hacia y desde su base de datos. Esto ayuda a identificar dos datos clave:</w:t>
      </w:r>
    </w:p>
    <w:p w14:paraId="6EDE7C6B" w14:textId="77777777" w:rsidR="003C3654" w:rsidRPr="003C3654" w:rsidRDefault="003C3654" w:rsidP="003C3654">
      <w:pPr>
        <w:pStyle w:val="Prrafodelista"/>
        <w:numPr>
          <w:ilvl w:val="0"/>
          <w:numId w:val="2"/>
        </w:numPr>
        <w:rPr>
          <w:lang w:val="es-419"/>
        </w:rPr>
      </w:pPr>
      <w:r w:rsidRPr="003C3654">
        <w:rPr>
          <w:lang w:val="es-419"/>
        </w:rPr>
        <w:t>La parte del esquema de su base de datos a la que se accede más (lecturas, escrituras o ambas)</w:t>
      </w:r>
    </w:p>
    <w:p w14:paraId="4B508E02" w14:textId="77777777" w:rsidR="003C3654" w:rsidRDefault="003C3654" w:rsidP="003C3654">
      <w:pPr>
        <w:pStyle w:val="Prrafodelista"/>
        <w:numPr>
          <w:ilvl w:val="0"/>
          <w:numId w:val="2"/>
        </w:numPr>
        <w:rPr>
          <w:lang w:val="es-419"/>
        </w:rPr>
      </w:pPr>
      <w:r w:rsidRPr="003C3654">
        <w:rPr>
          <w:lang w:val="es-419"/>
        </w:rPr>
        <w:t>Datos que se agrupan, es decir, siempre se accede a ellos juntos para lecturas y escrituras.</w:t>
      </w:r>
    </w:p>
    <w:p w14:paraId="06D6D120" w14:textId="47BE291A" w:rsidR="003C3654" w:rsidRPr="00E76570" w:rsidRDefault="003C3654" w:rsidP="00E76570">
      <w:pPr>
        <w:pStyle w:val="Prrafodelista"/>
        <w:numPr>
          <w:ilvl w:val="0"/>
          <w:numId w:val="4"/>
        </w:numPr>
        <w:rPr>
          <w:b/>
          <w:bCs/>
          <w:lang w:val="es-419"/>
        </w:rPr>
      </w:pPr>
      <w:r w:rsidRPr="00E76570">
        <w:rPr>
          <w:b/>
          <w:bCs/>
          <w:lang w:val="es-419"/>
        </w:rPr>
        <w:t xml:space="preserve">Paso </w:t>
      </w:r>
      <w:r w:rsidR="001637E2" w:rsidRPr="00E76570">
        <w:rPr>
          <w:b/>
          <w:bCs/>
          <w:lang w:val="es-419"/>
        </w:rPr>
        <w:t xml:space="preserve">2: Identificar NoSQL </w:t>
      </w:r>
      <w:r w:rsidRPr="00E76570">
        <w:rPr>
          <w:b/>
          <w:bCs/>
          <w:lang w:val="es-419"/>
        </w:rPr>
        <w:t xml:space="preserve">Requisitos </w:t>
      </w:r>
      <w:r w:rsidR="001637E2" w:rsidRPr="00E76570">
        <w:rPr>
          <w:b/>
          <w:bCs/>
          <w:lang w:val="es-419"/>
        </w:rPr>
        <w:t>De Instalación</w:t>
      </w:r>
    </w:p>
    <w:p w14:paraId="4B3C242D" w14:textId="77777777" w:rsidR="003C3654" w:rsidRDefault="003C3654" w:rsidP="003C3654">
      <w:pPr>
        <w:rPr>
          <w:lang w:val="es-419"/>
        </w:rPr>
      </w:pPr>
      <w:r w:rsidRPr="003C3654">
        <w:rPr>
          <w:lang w:val="es-419"/>
        </w:rPr>
        <w:t>Una vez que haya terminado de comprender su modelo de negocio y el flujo de datos, estará en buena forma para tomar algunas decisiones aproximadas sobre cómo implementar su NoSQL clúster, en función de los requisitos de su empresa. Por ejemplo, anotar la cantidad actual de aplicaciones en ejecución, la cantidad de usuarios y la tasa de acceso son algunas métricas importantes. Observar qué parte de sus datos es altamente confidencial, es decir, necesita tener una copia de seguridad a toda costa, también lo ayuda a decidir la estrategia de implementación de los nodos de réplica.</w:t>
      </w:r>
    </w:p>
    <w:p w14:paraId="0E00A18B" w14:textId="77777777" w:rsidR="003C3654" w:rsidRDefault="003C3654" w:rsidP="003C3654">
      <w:pPr>
        <w:rPr>
          <w:lang w:val="es-419"/>
        </w:rPr>
      </w:pPr>
      <w:r w:rsidRPr="003C3654">
        <w:rPr>
          <w:lang w:val="es-419"/>
        </w:rPr>
        <w:t xml:space="preserve">Desde un NoSQL La base de datos es una base de datos distribuida, puede aprovechar la naturaleza distribuida a su favor e implementarla según los requisitos de su negocio. La mayor ventaja que obtiene, además de la escalabilidad, es la distribución/implementación de su base de datos. </w:t>
      </w:r>
      <w:proofErr w:type="spellStart"/>
      <w:r w:rsidRPr="003C3654">
        <w:rPr>
          <w:lang w:val="es-419"/>
        </w:rPr>
        <w:t>NosDB</w:t>
      </w:r>
      <w:proofErr w:type="spellEnd"/>
      <w:r w:rsidRPr="003C3654">
        <w:rPr>
          <w:lang w:val="es-419"/>
        </w:rPr>
        <w:t xml:space="preserve"> fragmentos de clúster en diferentes ubicaciones GEO. Esto le permite implementar fragmentos cerca de la ubicación geográfica de su aplicación y evitar viajes de red costosos. Y aumenta el rendimiento de la aplicación.</w:t>
      </w:r>
    </w:p>
    <w:p w14:paraId="28E8E901" w14:textId="41D5C70F" w:rsidR="003C3654" w:rsidRPr="00E76570" w:rsidRDefault="003C3654" w:rsidP="00E76570">
      <w:pPr>
        <w:pStyle w:val="Prrafodelista"/>
        <w:numPr>
          <w:ilvl w:val="0"/>
          <w:numId w:val="4"/>
        </w:numPr>
        <w:rPr>
          <w:b/>
          <w:bCs/>
        </w:rPr>
      </w:pPr>
      <w:r w:rsidRPr="00E76570">
        <w:rPr>
          <w:b/>
          <w:bCs/>
        </w:rPr>
        <w:lastRenderedPageBreak/>
        <w:t xml:space="preserve">Paso 3: Convierta </w:t>
      </w:r>
      <w:r w:rsidR="001637E2" w:rsidRPr="00E76570">
        <w:rPr>
          <w:b/>
          <w:bCs/>
        </w:rPr>
        <w:t xml:space="preserve">Y Optimice Las Colecciones </w:t>
      </w:r>
      <w:r w:rsidRPr="00E76570">
        <w:rPr>
          <w:b/>
          <w:bCs/>
        </w:rPr>
        <w:t>JSON</w:t>
      </w:r>
    </w:p>
    <w:p w14:paraId="5B0BA24E" w14:textId="77E5B422" w:rsidR="003C3654" w:rsidRDefault="003C3654" w:rsidP="003C3654">
      <w:r>
        <w:t>El</w:t>
      </w:r>
      <w:r w:rsidRPr="003C3654">
        <w:t xml:space="preserve"> "boceto" dictará sus estrategias de optimización.</w:t>
      </w:r>
    </w:p>
    <w:p w14:paraId="22BE3EFB" w14:textId="77777777" w:rsidR="003C3654" w:rsidRPr="003400DF" w:rsidRDefault="003C3654" w:rsidP="003400DF">
      <w:pPr>
        <w:pStyle w:val="Prrafodelista"/>
        <w:numPr>
          <w:ilvl w:val="0"/>
          <w:numId w:val="7"/>
        </w:numPr>
        <w:rPr>
          <w:b/>
          <w:bCs/>
          <w:i/>
          <w:iCs/>
        </w:rPr>
      </w:pPr>
      <w:r w:rsidRPr="003400DF">
        <w:rPr>
          <w:b/>
          <w:bCs/>
          <w:i/>
          <w:iCs/>
        </w:rPr>
        <w:t>Convertir tablas en colecciones</w:t>
      </w:r>
    </w:p>
    <w:p w14:paraId="560590EB" w14:textId="2CE01006" w:rsidR="003C3654" w:rsidRPr="003C3654" w:rsidRDefault="003C3654" w:rsidP="003C3654">
      <w:r w:rsidRPr="003C3654">
        <w:t>Primero, simplemente convierta las tablas de la base de datos relacional en colecciones y convierta sus columnas en atributos. Este es el normalizado dato provenientes de una base de datos relacional.</w:t>
      </w:r>
    </w:p>
    <w:p w14:paraId="2E956ACD" w14:textId="77777777" w:rsidR="003C3654" w:rsidRPr="003400DF" w:rsidRDefault="003C3654" w:rsidP="003400DF">
      <w:pPr>
        <w:pStyle w:val="Prrafodelista"/>
        <w:numPr>
          <w:ilvl w:val="0"/>
          <w:numId w:val="7"/>
        </w:numPr>
        <w:rPr>
          <w:b/>
          <w:bCs/>
          <w:i/>
          <w:iCs/>
        </w:rPr>
      </w:pPr>
      <w:r w:rsidRPr="003400DF">
        <w:rPr>
          <w:b/>
          <w:bCs/>
          <w:i/>
          <w:iCs/>
        </w:rPr>
        <w:t>Desnormalice los datos incrustando documentos</w:t>
      </w:r>
    </w:p>
    <w:p w14:paraId="25078AD2" w14:textId="352F15BC" w:rsidR="003C3654" w:rsidRDefault="003C3654" w:rsidP="003C3654">
      <w:r w:rsidRPr="003C3654">
        <w:t>A continuación, necesitas desnormalizar tablas aisladas, es decir, tablas que no significan nada a menos que se correlacionen con otra tabla.</w:t>
      </w:r>
    </w:p>
    <w:p w14:paraId="195AAC04" w14:textId="77777777" w:rsidR="003C3654" w:rsidRPr="003400DF" w:rsidRDefault="003C3654" w:rsidP="003400DF">
      <w:pPr>
        <w:pStyle w:val="Prrafodelista"/>
        <w:numPr>
          <w:ilvl w:val="0"/>
          <w:numId w:val="7"/>
        </w:numPr>
        <w:rPr>
          <w:b/>
          <w:bCs/>
          <w:i/>
          <w:iCs/>
        </w:rPr>
      </w:pPr>
      <w:r w:rsidRPr="003400DF">
        <w:rPr>
          <w:b/>
          <w:bCs/>
          <w:i/>
          <w:iCs/>
        </w:rPr>
        <w:t>Convertir relaciones</w:t>
      </w:r>
    </w:p>
    <w:p w14:paraId="0E0746FF" w14:textId="71F09942" w:rsidR="003C3654" w:rsidRDefault="003C3654" w:rsidP="003C3654">
      <w:r w:rsidRPr="003C3654">
        <w:t>Ahora, lo que te queda son esas colecciones que contienen documentos que tienen sus respectivas mesas de unión incrustado dentro de ellos. Pero ¿qué sucede con las relaciones de muchos a muchos, de uno a muchos y otras? Aquí es donde su conocimiento sobre los datos agrupados de forma natural y los datos a los que se accede en conjunto resulta útil.</w:t>
      </w:r>
      <w:r>
        <w:t xml:space="preserve"> </w:t>
      </w:r>
      <w:r w:rsidRPr="003C3654">
        <w:t xml:space="preserve">Por otro lado, la aplicación siempre requiere Categorías cada vez que se recupera el Producto; por lo tanto, este es un buen candidato para la incrustación. </w:t>
      </w:r>
    </w:p>
    <w:p w14:paraId="5B10B3FF" w14:textId="77777777" w:rsidR="003C3654" w:rsidRPr="003400DF" w:rsidRDefault="003C3654" w:rsidP="003400DF">
      <w:pPr>
        <w:pStyle w:val="Prrafodelista"/>
        <w:numPr>
          <w:ilvl w:val="0"/>
          <w:numId w:val="7"/>
        </w:numPr>
        <w:rPr>
          <w:b/>
          <w:bCs/>
          <w:i/>
          <w:iCs/>
        </w:rPr>
      </w:pPr>
      <w:r w:rsidRPr="003400DF">
        <w:rPr>
          <w:b/>
          <w:bCs/>
          <w:i/>
          <w:iCs/>
        </w:rPr>
        <w:t>Modelo híbrido: lo mejor de la normalización y la desnormalización</w:t>
      </w:r>
    </w:p>
    <w:p w14:paraId="319A221A" w14:textId="37D5DE0B" w:rsidR="003C3654" w:rsidRPr="003C3654" w:rsidRDefault="003C3654" w:rsidP="003C3654">
      <w:r>
        <w:t xml:space="preserve">Desde un NoSQL El esquema se basa en el flujo de datos de la aplicación, si una colección tiene la ventaja de mantenerla tanto incrustada como no incrustada, entonces adopte el modelo híbrido. Por ejemplo: </w:t>
      </w:r>
    </w:p>
    <w:p w14:paraId="04E81495" w14:textId="77777777" w:rsidR="003C3654" w:rsidRDefault="003C3654">
      <w:pPr>
        <w:spacing w:line="278" w:lineRule="auto"/>
        <w:ind w:left="0" w:firstLine="0"/>
        <w:rPr>
          <w:lang w:val="es-419"/>
        </w:rPr>
      </w:pPr>
      <w:r>
        <w:rPr>
          <w:lang w:val="es-419"/>
        </w:rPr>
        <w:br w:type="page"/>
      </w:r>
    </w:p>
    <w:p w14:paraId="43014445" w14:textId="77777777" w:rsidR="00E76570" w:rsidRDefault="00E76570" w:rsidP="003C3654">
      <w:pPr>
        <w:rPr>
          <w:lang w:val="es-419"/>
        </w:rPr>
      </w:pPr>
      <w:r w:rsidRPr="00E76570">
        <w:rPr>
          <w:lang w:val="es-419"/>
        </w:rPr>
        <w:lastRenderedPageBreak/>
        <w:t>Este es un caso de uso perfecto de un Modelo Híbrido, por lo que las colecciones quedarían conformadas de la siguiente manera:</w:t>
      </w:r>
    </w:p>
    <w:p w14:paraId="701430B6" w14:textId="77777777" w:rsidR="00E76570" w:rsidRDefault="00E76570" w:rsidP="00E76570">
      <w:pPr>
        <w:ind w:left="0" w:firstLine="0"/>
        <w:jc w:val="center"/>
        <w:rPr>
          <w:lang w:val="es-419"/>
        </w:rPr>
      </w:pPr>
      <w:r w:rsidRPr="00E76570">
        <w:rPr>
          <w:noProof/>
          <w:lang w:val="es-419"/>
        </w:rPr>
        <w:drawing>
          <wp:inline distT="0" distB="0" distL="0" distR="0" wp14:anchorId="2464E828" wp14:editId="5FAE6C84">
            <wp:extent cx="4922520" cy="1276637"/>
            <wp:effectExtent l="0" t="0" r="0" b="0"/>
            <wp:docPr id="2061078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78736" name=""/>
                    <pic:cNvPicPr/>
                  </pic:nvPicPr>
                  <pic:blipFill>
                    <a:blip r:embed="rId10"/>
                    <a:stretch>
                      <a:fillRect/>
                    </a:stretch>
                  </pic:blipFill>
                  <pic:spPr>
                    <a:xfrm>
                      <a:off x="0" y="0"/>
                      <a:ext cx="4949806" cy="1283714"/>
                    </a:xfrm>
                    <a:prstGeom prst="rect">
                      <a:avLst/>
                    </a:prstGeom>
                  </pic:spPr>
                </pic:pic>
              </a:graphicData>
            </a:graphic>
          </wp:inline>
        </w:drawing>
      </w:r>
    </w:p>
    <w:p w14:paraId="2944DBCB" w14:textId="77777777" w:rsidR="00E76570" w:rsidRDefault="00E76570" w:rsidP="00E76570">
      <w:r w:rsidRPr="00E76570">
        <w:t>y almacenando Categoría: también por separado:</w:t>
      </w:r>
    </w:p>
    <w:p w14:paraId="2A3CD121" w14:textId="77777777" w:rsidR="00E76570" w:rsidRDefault="00E76570" w:rsidP="00E76570">
      <w:pPr>
        <w:ind w:left="0" w:firstLine="0"/>
        <w:jc w:val="center"/>
        <w:rPr>
          <w:lang w:val="es-419"/>
        </w:rPr>
      </w:pPr>
      <w:r w:rsidRPr="00E76570">
        <w:rPr>
          <w:noProof/>
          <w:lang w:val="es-419"/>
        </w:rPr>
        <w:drawing>
          <wp:inline distT="0" distB="0" distL="0" distR="0" wp14:anchorId="015C7CE3" wp14:editId="1BF679F3">
            <wp:extent cx="5273040" cy="1138305"/>
            <wp:effectExtent l="0" t="0" r="3810" b="5080"/>
            <wp:docPr id="1791985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85993" name=""/>
                    <pic:cNvPicPr/>
                  </pic:nvPicPr>
                  <pic:blipFill>
                    <a:blip r:embed="rId11"/>
                    <a:stretch>
                      <a:fillRect/>
                    </a:stretch>
                  </pic:blipFill>
                  <pic:spPr>
                    <a:xfrm>
                      <a:off x="0" y="0"/>
                      <a:ext cx="5284212" cy="1140717"/>
                    </a:xfrm>
                    <a:prstGeom prst="rect">
                      <a:avLst/>
                    </a:prstGeom>
                  </pic:spPr>
                </pic:pic>
              </a:graphicData>
            </a:graphic>
          </wp:inline>
        </w:drawing>
      </w:r>
    </w:p>
    <w:p w14:paraId="5DFA02FD" w14:textId="77777777" w:rsidR="00E76570" w:rsidRPr="003400DF" w:rsidRDefault="00E76570" w:rsidP="003400DF">
      <w:pPr>
        <w:pStyle w:val="Prrafodelista"/>
        <w:numPr>
          <w:ilvl w:val="0"/>
          <w:numId w:val="7"/>
        </w:numPr>
        <w:rPr>
          <w:b/>
          <w:bCs/>
          <w:i/>
          <w:iCs/>
          <w:lang w:val="es-419"/>
        </w:rPr>
      </w:pPr>
      <w:r w:rsidRPr="003400DF">
        <w:rPr>
          <w:b/>
          <w:bCs/>
          <w:i/>
          <w:iCs/>
          <w:lang w:val="es-419"/>
        </w:rPr>
        <w:t>Decida su estrategia de distribución</w:t>
      </w:r>
    </w:p>
    <w:p w14:paraId="4859A72D" w14:textId="310FB390" w:rsidR="00E76570" w:rsidRPr="00E76570" w:rsidRDefault="00E76570" w:rsidP="00E76570">
      <w:pPr>
        <w:rPr>
          <w:lang w:val="es-419"/>
        </w:rPr>
      </w:pPr>
      <w:r w:rsidRPr="00E76570">
        <w:rPr>
          <w:lang w:val="es-419"/>
        </w:rPr>
        <w:t>Lo siguiente que debe decidir es la posible estrategia de distribución de sus colecciones. El boceto inicial de sus requisitos de configuración afecta directamente esto.</w:t>
      </w:r>
    </w:p>
    <w:p w14:paraId="38191C3E" w14:textId="77777777" w:rsidR="00E76570" w:rsidRPr="003400DF" w:rsidRDefault="00E76570" w:rsidP="00E76570">
      <w:pPr>
        <w:rPr>
          <w:b/>
          <w:bCs/>
          <w:u w:val="single"/>
          <w:lang w:val="es-419"/>
        </w:rPr>
      </w:pPr>
      <w:r w:rsidRPr="003400DF">
        <w:rPr>
          <w:b/>
          <w:bCs/>
          <w:u w:val="single"/>
          <w:lang w:val="es-419"/>
        </w:rPr>
        <w:t>Tienes tres opciones para tu estrategia de distribución:</w:t>
      </w:r>
    </w:p>
    <w:p w14:paraId="16582685" w14:textId="77777777" w:rsidR="00E76570" w:rsidRPr="00E76570" w:rsidRDefault="00E76570" w:rsidP="00E76570">
      <w:pPr>
        <w:pStyle w:val="Prrafodelista"/>
        <w:numPr>
          <w:ilvl w:val="0"/>
          <w:numId w:val="3"/>
        </w:numPr>
        <w:rPr>
          <w:lang w:val="es-419"/>
        </w:rPr>
      </w:pPr>
      <w:r w:rsidRPr="00E76570">
        <w:rPr>
          <w:b/>
          <w:bCs/>
          <w:lang w:val="es-419"/>
        </w:rPr>
        <w:t>Distribución basada en rango:</w:t>
      </w:r>
      <w:r w:rsidRPr="00E76570">
        <w:rPr>
          <w:lang w:val="es-419"/>
        </w:rPr>
        <w:t xml:space="preserve"> Esta estrategia le permite definir cómo se distribuyen los datos entre los nodos según los rangos especificados para cada fragmento. </w:t>
      </w:r>
    </w:p>
    <w:p w14:paraId="48F5BBFC" w14:textId="0FB3048D" w:rsidR="00E76570" w:rsidRPr="00E76570" w:rsidRDefault="00E76570" w:rsidP="00E76570">
      <w:pPr>
        <w:pStyle w:val="Prrafodelista"/>
        <w:numPr>
          <w:ilvl w:val="0"/>
          <w:numId w:val="3"/>
        </w:numPr>
        <w:rPr>
          <w:lang w:val="es-419"/>
        </w:rPr>
      </w:pPr>
      <w:r w:rsidRPr="00E76570">
        <w:rPr>
          <w:b/>
          <w:bCs/>
          <w:lang w:val="es-419"/>
        </w:rPr>
        <w:t xml:space="preserve">Distribución basada en hash: </w:t>
      </w:r>
      <w:proofErr w:type="spellStart"/>
      <w:r w:rsidRPr="00E76570">
        <w:rPr>
          <w:lang w:val="es-419"/>
        </w:rPr>
        <w:t>Hashing</w:t>
      </w:r>
      <w:proofErr w:type="spellEnd"/>
      <w:r w:rsidRPr="00E76570">
        <w:rPr>
          <w:lang w:val="es-419"/>
        </w:rPr>
        <w:t xml:space="preserve"> le permite distribuir datos entre fragmentos de manera uniforme, por lo que también distribuye la carga de manera uniforme.</w:t>
      </w:r>
    </w:p>
    <w:p w14:paraId="78AD6731" w14:textId="49EB2C15" w:rsidR="00E76570" w:rsidRDefault="00E76570" w:rsidP="00E76570">
      <w:pPr>
        <w:pStyle w:val="Prrafodelista"/>
        <w:numPr>
          <w:ilvl w:val="0"/>
          <w:numId w:val="3"/>
        </w:numPr>
      </w:pPr>
      <w:r w:rsidRPr="00E76570">
        <w:rPr>
          <w:b/>
          <w:bCs/>
        </w:rPr>
        <w:lastRenderedPageBreak/>
        <w:t>Colección fragmentada única (</w:t>
      </w:r>
      <w:proofErr w:type="spellStart"/>
      <w:r w:rsidRPr="00E76570">
        <w:rPr>
          <w:b/>
          <w:bCs/>
        </w:rPr>
        <w:t>Dishabilitar</w:t>
      </w:r>
      <w:proofErr w:type="spellEnd"/>
      <w:r w:rsidRPr="00E76570">
        <w:rPr>
          <w:b/>
          <w:bCs/>
        </w:rPr>
        <w:t xml:space="preserve"> distribución):</w:t>
      </w:r>
      <w:r w:rsidRPr="00E76570">
        <w:t xml:space="preserve"> Esto deshabilita completamente la distribución en una colección. Use esta opción si su conjunto de datos es pequeño o desea específicamente que esté en una sola máquina.</w:t>
      </w:r>
    </w:p>
    <w:p w14:paraId="5D68DA89" w14:textId="2AFA1D76" w:rsidR="00E76570" w:rsidRDefault="00E76570" w:rsidP="00E76570">
      <w:pPr>
        <w:pStyle w:val="Prrafodelista"/>
        <w:numPr>
          <w:ilvl w:val="0"/>
          <w:numId w:val="4"/>
        </w:numPr>
        <w:rPr>
          <w:b/>
          <w:bCs/>
        </w:rPr>
      </w:pPr>
      <w:r w:rsidRPr="00E76570">
        <w:rPr>
          <w:b/>
          <w:bCs/>
        </w:rPr>
        <w:t xml:space="preserve">Paso 4: Migrar </w:t>
      </w:r>
      <w:r w:rsidR="001637E2" w:rsidRPr="00E76570">
        <w:rPr>
          <w:b/>
          <w:bCs/>
        </w:rPr>
        <w:t>Datos</w:t>
      </w:r>
    </w:p>
    <w:p w14:paraId="093D2501" w14:textId="2506E0DF" w:rsidR="00E76570" w:rsidRDefault="00E76570" w:rsidP="00E76570">
      <w:r w:rsidRPr="00E76570">
        <w:t>Finalmente, después de una intensa lluvia de ideas, aquí viene la parte relativamente fácil, es decir, migrar datos de la base de datos relacional a la NoSQL base de datos.</w:t>
      </w:r>
    </w:p>
    <w:p w14:paraId="322441F5" w14:textId="22652386" w:rsidR="00E76570" w:rsidRDefault="00E76570" w:rsidP="00E76570">
      <w:r w:rsidRPr="00E76570">
        <w:t>Primero cree sus objetos .NET que representen sus colecciones y documentos JSON. ¡Sí! no se necesita ORM para insertar datos ya que la API .NET convierte automáticamente sus objetos .NET en documentos JSON.</w:t>
      </w:r>
    </w:p>
    <w:p w14:paraId="4295B8B0" w14:textId="77777777" w:rsidR="00E76570" w:rsidRPr="00E76570" w:rsidRDefault="00E76570" w:rsidP="00E76570">
      <w:r w:rsidRPr="00E76570">
        <w:t xml:space="preserve">A continuación, acceda a su base de datos relacional y rellene estos objetos .NET e insértelos en el NoSQL base de datos. También puede utilizar activadores CLR y UDF CLR proporcionados por </w:t>
      </w:r>
      <w:proofErr w:type="spellStart"/>
      <w:r w:rsidRPr="00E76570">
        <w:t>NosDB</w:t>
      </w:r>
      <w:proofErr w:type="spellEnd"/>
      <w:r w:rsidRPr="00E76570">
        <w:t xml:space="preserve"> para ayudar a su migración.</w:t>
      </w:r>
    </w:p>
    <w:p w14:paraId="04DB0305" w14:textId="77777777" w:rsidR="00E76570" w:rsidRPr="00E76570" w:rsidRDefault="00E76570" w:rsidP="00E76570">
      <w:r w:rsidRPr="00E76570">
        <w:t xml:space="preserve">Una vez que haya migrado sus datos, ahora es el momento de migrar su aplicación para adoptar los datos en términos de colecciones y documentos. Sin </w:t>
      </w:r>
      <w:proofErr w:type="spellStart"/>
      <w:r w:rsidRPr="00E76570">
        <w:t>NosDB</w:t>
      </w:r>
      <w:proofErr w:type="spellEnd"/>
      <w:r w:rsidRPr="00E76570">
        <w:t xml:space="preserve"> no tiene la opción de usar ADO.NET o CLR </w:t>
      </w:r>
      <w:proofErr w:type="spellStart"/>
      <w:r w:rsidRPr="00E76570">
        <w:t>Triggers</w:t>
      </w:r>
      <w:proofErr w:type="spellEnd"/>
      <w:r w:rsidRPr="00E76570">
        <w:t xml:space="preserve"> &amp; UDF, pero aún puede usar la API.</w:t>
      </w:r>
    </w:p>
    <w:p w14:paraId="07E9D4AB" w14:textId="04BACFA1" w:rsidR="00E76570" w:rsidRDefault="00E76570" w:rsidP="00E76570">
      <w:pPr>
        <w:pStyle w:val="Prrafodelista"/>
        <w:numPr>
          <w:ilvl w:val="0"/>
          <w:numId w:val="4"/>
        </w:numPr>
        <w:rPr>
          <w:b/>
          <w:bCs/>
        </w:rPr>
      </w:pPr>
      <w:r w:rsidRPr="00E76570">
        <w:rPr>
          <w:b/>
          <w:bCs/>
        </w:rPr>
        <w:t xml:space="preserve">Paso 5: Migrar </w:t>
      </w:r>
      <w:r w:rsidR="001637E2" w:rsidRPr="00E76570">
        <w:rPr>
          <w:b/>
          <w:bCs/>
        </w:rPr>
        <w:t>Aplicación</w:t>
      </w:r>
    </w:p>
    <w:p w14:paraId="7F3B21CF" w14:textId="3FB675A0" w:rsidR="00E76570" w:rsidRDefault="00E76570" w:rsidP="00E76570">
      <w:r w:rsidRPr="00E76570">
        <w:t xml:space="preserve">Hay varias formas de migrar su aplicación .NET en funcionamiento a </w:t>
      </w:r>
      <w:proofErr w:type="spellStart"/>
      <w:r w:rsidRPr="00E76570">
        <w:t>NosDB</w:t>
      </w:r>
      <w:proofErr w:type="spellEnd"/>
      <w:r w:rsidRPr="00E76570">
        <w:t xml:space="preserve">. </w:t>
      </w:r>
      <w:proofErr w:type="spellStart"/>
      <w:r w:rsidRPr="00E76570">
        <w:t>NosDB</w:t>
      </w:r>
      <w:proofErr w:type="spellEnd"/>
      <w:r w:rsidRPr="00E76570">
        <w:t xml:space="preserve"> admite operaciones SQL como SELECCIONAR, INSERTAR, ACTUALIZAR y ELIMINAR.</w:t>
      </w:r>
    </w:p>
    <w:p w14:paraId="1B5A7798" w14:textId="77777777" w:rsidR="00E76570" w:rsidRPr="00E76570" w:rsidRDefault="00E76570" w:rsidP="00E76570">
      <w:proofErr w:type="spellStart"/>
      <w:r w:rsidRPr="00E76570">
        <w:t>NosDB</w:t>
      </w:r>
      <w:proofErr w:type="spellEnd"/>
      <w:r w:rsidRPr="00E76570">
        <w:t xml:space="preserve"> admite SQL con todas las múltiples formas en que se puede acceder a la base de datos, a saber:</w:t>
      </w:r>
    </w:p>
    <w:p w14:paraId="78AAD0BE" w14:textId="77777777" w:rsidR="00E76570" w:rsidRPr="00E76570" w:rsidRDefault="00E76570" w:rsidP="00E76570">
      <w:pPr>
        <w:numPr>
          <w:ilvl w:val="0"/>
          <w:numId w:val="5"/>
        </w:numPr>
      </w:pPr>
      <w:r w:rsidRPr="00E76570">
        <w:t>API de .NET</w:t>
      </w:r>
    </w:p>
    <w:p w14:paraId="4C16F0A6" w14:textId="77777777" w:rsidR="00E76570" w:rsidRPr="00E76570" w:rsidRDefault="00E76570" w:rsidP="00E76570">
      <w:pPr>
        <w:numPr>
          <w:ilvl w:val="1"/>
          <w:numId w:val="5"/>
        </w:numPr>
      </w:pPr>
      <w:r w:rsidRPr="00E76570">
        <w:lastRenderedPageBreak/>
        <w:t>ADO.NET</w:t>
      </w:r>
    </w:p>
    <w:p w14:paraId="271AF23D" w14:textId="77777777" w:rsidR="00E76570" w:rsidRPr="00E76570" w:rsidRDefault="00E76570" w:rsidP="00E76570">
      <w:pPr>
        <w:numPr>
          <w:ilvl w:val="1"/>
          <w:numId w:val="5"/>
        </w:numPr>
      </w:pPr>
      <w:r w:rsidRPr="00E76570">
        <w:t>LINQ</w:t>
      </w:r>
    </w:p>
    <w:p w14:paraId="4FCBD125" w14:textId="77777777" w:rsidR="00E76570" w:rsidRPr="00E76570" w:rsidRDefault="00E76570" w:rsidP="00E76570">
      <w:pPr>
        <w:numPr>
          <w:ilvl w:val="0"/>
          <w:numId w:val="5"/>
        </w:numPr>
      </w:pPr>
      <w:r w:rsidRPr="00E76570">
        <w:t>API de Java</w:t>
      </w:r>
    </w:p>
    <w:p w14:paraId="5923611D" w14:textId="77777777" w:rsidR="00E76570" w:rsidRPr="00E76570" w:rsidRDefault="00E76570" w:rsidP="00E76570">
      <w:pPr>
        <w:numPr>
          <w:ilvl w:val="0"/>
          <w:numId w:val="5"/>
        </w:numPr>
      </w:pPr>
      <w:r w:rsidRPr="00E76570">
        <w:t>REST API</w:t>
      </w:r>
    </w:p>
    <w:p w14:paraId="28DCAA3D" w14:textId="00331DC8" w:rsidR="00E76570" w:rsidRDefault="00E76570" w:rsidP="00E76570">
      <w:pPr>
        <w:pStyle w:val="Prrafodelista"/>
        <w:numPr>
          <w:ilvl w:val="0"/>
          <w:numId w:val="4"/>
        </w:numPr>
        <w:rPr>
          <w:b/>
          <w:bCs/>
        </w:rPr>
      </w:pPr>
      <w:r w:rsidRPr="00E76570">
        <w:rPr>
          <w:b/>
          <w:bCs/>
        </w:rPr>
        <w:t>Paso 6:</w:t>
      </w:r>
      <w:r w:rsidR="001637E2" w:rsidRPr="00E76570">
        <w:rPr>
          <w:b/>
          <w:bCs/>
        </w:rPr>
        <w:t xml:space="preserve"> </w:t>
      </w:r>
      <w:r w:rsidR="001637E2">
        <w:rPr>
          <w:b/>
          <w:bCs/>
        </w:rPr>
        <w:t>V</w:t>
      </w:r>
      <w:r w:rsidRPr="00E76570">
        <w:rPr>
          <w:b/>
          <w:bCs/>
        </w:rPr>
        <w:t xml:space="preserve">alidar </w:t>
      </w:r>
      <w:r w:rsidR="001637E2" w:rsidRPr="00E76570">
        <w:rPr>
          <w:b/>
          <w:bCs/>
        </w:rPr>
        <w:t>La Migración</w:t>
      </w:r>
    </w:p>
    <w:p w14:paraId="0DD4468C" w14:textId="77777777" w:rsidR="00E76570" w:rsidRDefault="00E76570" w:rsidP="00E76570">
      <w:r>
        <w:t xml:space="preserve">Después de la migración, la validación es el último paso de todo el proceso: verifique todas sus pruebas, valide los datos migrados y su aplicación. Este paso depende completamente de usted y de sus procesos comerciales. Banco el recién incorporado NoSQL base de datos. </w:t>
      </w:r>
    </w:p>
    <w:p w14:paraId="70B7EF12" w14:textId="23A31452" w:rsidR="00E76570" w:rsidRDefault="00E76570" w:rsidP="00E76570">
      <w:r>
        <w:t xml:space="preserve">Verifique los límites de la configuración actual del clúster (aunque puede escalar horizontalmente cuando lo desee) y equípese con las herramientas adecuadas como </w:t>
      </w:r>
      <w:proofErr w:type="spellStart"/>
      <w:r>
        <w:t>NosDB</w:t>
      </w:r>
      <w:proofErr w:type="spellEnd"/>
      <w:r>
        <w:t xml:space="preserve"> Management Studio para administrar y monitorear todo el clúster desde una sola ubicación.</w:t>
      </w:r>
    </w:p>
    <w:p w14:paraId="3CC6B226" w14:textId="756B02BF" w:rsidR="00E76570" w:rsidRPr="00E76570" w:rsidRDefault="00E76570" w:rsidP="00E76570">
      <w:r>
        <w:t>Eso es todo, con estos pasos podrás organizar tu migración de una base de datos relacional a una NoSQL base de datos en un proceso lógico de 6 pasos.</w:t>
      </w:r>
      <w:sdt>
        <w:sdtPr>
          <w:id w:val="-1522234695"/>
          <w:citation/>
        </w:sdtPr>
        <w:sdtEndPr/>
        <w:sdtContent>
          <w:r>
            <w:fldChar w:fldCharType="begin"/>
          </w:r>
          <w:r>
            <w:rPr>
              <w:lang w:val="es-419"/>
            </w:rPr>
            <w:instrText xml:space="preserve"> CITATION NCa25 \l 22538 </w:instrText>
          </w:r>
          <w:r>
            <w:fldChar w:fldCharType="separate"/>
          </w:r>
          <w:r>
            <w:rPr>
              <w:noProof/>
              <w:lang w:val="es-419"/>
            </w:rPr>
            <w:t xml:space="preserve"> (Alachisoft, 2025)</w:t>
          </w:r>
          <w:r>
            <w:fldChar w:fldCharType="end"/>
          </w:r>
        </w:sdtContent>
      </w:sdt>
    </w:p>
    <w:p w14:paraId="00B5E9F8" w14:textId="280D03D1" w:rsidR="003C3F86" w:rsidRPr="00E76570" w:rsidRDefault="003C3F86" w:rsidP="00E76570">
      <w:pPr>
        <w:rPr>
          <w:lang w:val="es-419"/>
        </w:rPr>
      </w:pPr>
      <w:r w:rsidRPr="00E76570">
        <w:rPr>
          <w:lang w:val="es-419"/>
        </w:rPr>
        <w:br w:type="page"/>
      </w:r>
    </w:p>
    <w:p w14:paraId="1E9E04DE" w14:textId="6E504ED9" w:rsidR="003C3F86" w:rsidRDefault="003C3F86" w:rsidP="003C3F86">
      <w:pPr>
        <w:pStyle w:val="Ttulo1"/>
        <w:rPr>
          <w:lang w:val="es-419"/>
        </w:rPr>
      </w:pPr>
      <w:bookmarkStart w:id="3" w:name="_Toc213509148"/>
      <w:r>
        <w:rPr>
          <w:lang w:val="es-419"/>
        </w:rPr>
        <w:lastRenderedPageBreak/>
        <w:t>Conclusiones</w:t>
      </w:r>
      <w:bookmarkEnd w:id="3"/>
      <w:r>
        <w:rPr>
          <w:lang w:val="es-419"/>
        </w:rPr>
        <w:t xml:space="preserve"> </w:t>
      </w:r>
    </w:p>
    <w:p w14:paraId="76413365" w14:textId="097DB8BE" w:rsidR="00566A87" w:rsidRPr="00566A87" w:rsidRDefault="00566A87" w:rsidP="000D05B7">
      <w:pPr>
        <w:rPr>
          <w:lang w:val="es-419"/>
        </w:rPr>
      </w:pPr>
      <w:r w:rsidRPr="00566A87">
        <w:rPr>
          <w:lang w:val="es-419"/>
        </w:rPr>
        <w:t>La transición de modelos relacionales a NoSQL constituye un proceso esencial para las organizaciones que buscan optimizar el rendimiento de sus sistemas y manejar eficientemente grandes volúmenes de datos. A través de la migración, se obtiene una arquitectura más flexible y escalable, capaz de adaptarse a las necesidades de crecimiento y distribución de las aplicaciones modernas.</w:t>
      </w:r>
      <w:r w:rsidR="000D05B7">
        <w:rPr>
          <w:lang w:val="es-419"/>
        </w:rPr>
        <w:t xml:space="preserve"> </w:t>
      </w:r>
      <w:r w:rsidRPr="00566A87">
        <w:rPr>
          <w:lang w:val="es-419"/>
        </w:rPr>
        <w:t>Sin embargo, este cambio requiere una planificación cuidadosa, ya que implica ajustar el diseño del modelo de datos, la estructura de las aplicaciones y las estrategias de almacenamiento.</w:t>
      </w:r>
    </w:p>
    <w:p w14:paraId="6AF7F237" w14:textId="3E5DA147" w:rsidR="003C3F86" w:rsidRDefault="00566A87" w:rsidP="00566A87">
      <w:pPr>
        <w:rPr>
          <w:lang w:val="es-419"/>
        </w:rPr>
      </w:pPr>
      <w:r w:rsidRPr="00566A87">
        <w:rPr>
          <w:lang w:val="es-419"/>
        </w:rPr>
        <w:t>En conclusión, la adopción de bases de datos NoSQL ofrece importantes beneficios en términos de velocidad, disponibilidad y capacidad de expansión, siempre que se realice una migración planificada y se comprendan las diferencias fundamentales entre ambos enfoques de gestión de datos.</w:t>
      </w:r>
    </w:p>
    <w:p w14:paraId="1095E587" w14:textId="77777777" w:rsidR="003C3F86" w:rsidRDefault="003C3F86">
      <w:pPr>
        <w:spacing w:line="278" w:lineRule="auto"/>
        <w:ind w:left="0" w:firstLine="0"/>
        <w:rPr>
          <w:lang w:val="es-419"/>
        </w:rPr>
      </w:pPr>
      <w:r>
        <w:rPr>
          <w:lang w:val="es-419"/>
        </w:rPr>
        <w:br w:type="page"/>
      </w:r>
    </w:p>
    <w:bookmarkStart w:id="4" w:name="_Toc213509149" w:displacedByCustomXml="next"/>
    <w:sdt>
      <w:sdtPr>
        <w:rPr>
          <w:rFonts w:eastAsiaTheme="minorHAnsi" w:cstheme="minorBidi"/>
          <w:b w:val="0"/>
          <w:szCs w:val="24"/>
          <w:lang w:val="es-MX"/>
        </w:rPr>
        <w:id w:val="-1376393405"/>
        <w:docPartObj>
          <w:docPartGallery w:val="Bibliographies"/>
          <w:docPartUnique/>
        </w:docPartObj>
      </w:sdtPr>
      <w:sdtEndPr>
        <w:rPr>
          <w:lang w:val="es-HN"/>
        </w:rPr>
      </w:sdtEndPr>
      <w:sdtContent>
        <w:p w14:paraId="4B2636B4" w14:textId="609F3681" w:rsidR="00E76570" w:rsidRDefault="00E76570">
          <w:pPr>
            <w:pStyle w:val="Ttulo1"/>
          </w:pPr>
          <w:r>
            <w:rPr>
              <w:lang w:val="es-MX"/>
            </w:rPr>
            <w:t>Referencias</w:t>
          </w:r>
          <w:bookmarkEnd w:id="4"/>
        </w:p>
        <w:sdt>
          <w:sdtPr>
            <w:id w:val="-573587230"/>
            <w:bibliography/>
          </w:sdtPr>
          <w:sdtEndPr/>
          <w:sdtContent>
            <w:p w14:paraId="6F5BAE99" w14:textId="77777777" w:rsidR="00E76570" w:rsidRDefault="00E76570" w:rsidP="00E76570">
              <w:pPr>
                <w:pStyle w:val="Bibliografa"/>
                <w:ind w:left="720" w:hanging="720"/>
                <w:rPr>
                  <w:noProof/>
                  <w:kern w:val="0"/>
                  <w:lang w:val="es-MX"/>
                  <w14:ligatures w14:val="none"/>
                </w:rPr>
              </w:pPr>
              <w:r>
                <w:fldChar w:fldCharType="begin"/>
              </w:r>
              <w:r>
                <w:instrText>BIBLIOGRAPHY</w:instrText>
              </w:r>
              <w:r>
                <w:fldChar w:fldCharType="separate"/>
              </w:r>
              <w:r>
                <w:rPr>
                  <w:noProof/>
                  <w:lang w:val="es-MX"/>
                </w:rPr>
                <w:t xml:space="preserve">Alachisoft, N. b. (2025). </w:t>
              </w:r>
              <w:r>
                <w:rPr>
                  <w:i/>
                  <w:iCs/>
                  <w:noProof/>
                  <w:lang w:val="es-MX"/>
                </w:rPr>
                <w:t>Migración de SQL a NoSQL Databases</w:t>
              </w:r>
              <w:r>
                <w:rPr>
                  <w:noProof/>
                  <w:lang w:val="es-MX"/>
                </w:rPr>
                <w:t>. Obtenido de Alachisoft: https://www.alachisoft.com/es/resources/whitepapers/sql-to-nosql-migration.php</w:t>
              </w:r>
            </w:p>
            <w:p w14:paraId="140D6DB6" w14:textId="308E5D54" w:rsidR="00E76570" w:rsidRDefault="00E76570" w:rsidP="00E76570">
              <w:r>
                <w:rPr>
                  <w:b/>
                  <w:bCs/>
                </w:rPr>
                <w:fldChar w:fldCharType="end"/>
              </w:r>
            </w:p>
          </w:sdtContent>
        </w:sdt>
      </w:sdtContent>
    </w:sdt>
    <w:p w14:paraId="7EA9A671" w14:textId="77777777" w:rsidR="003C3F86" w:rsidRPr="003C3F86" w:rsidRDefault="003C3F86" w:rsidP="003C3F86">
      <w:pPr>
        <w:rPr>
          <w:lang w:val="es-419"/>
        </w:rPr>
      </w:pPr>
    </w:p>
    <w:sectPr w:rsidR="003C3F86" w:rsidRPr="003C3F86" w:rsidSect="003C3F86">
      <w:headerReference w:type="default" r:id="rId12"/>
      <w:pgSz w:w="12242" w:h="15842" w:code="1"/>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AE305" w14:textId="77777777" w:rsidR="009A3652" w:rsidRDefault="009A3652" w:rsidP="003C3F86">
      <w:pPr>
        <w:spacing w:after="0" w:line="240" w:lineRule="auto"/>
      </w:pPr>
      <w:r>
        <w:separator/>
      </w:r>
    </w:p>
  </w:endnote>
  <w:endnote w:type="continuationSeparator" w:id="0">
    <w:p w14:paraId="2B98AA61" w14:textId="77777777" w:rsidR="009A3652" w:rsidRDefault="009A3652" w:rsidP="003C3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7A599" w14:textId="77777777" w:rsidR="009A3652" w:rsidRDefault="009A3652" w:rsidP="003C3F86">
      <w:pPr>
        <w:spacing w:after="0" w:line="240" w:lineRule="auto"/>
      </w:pPr>
      <w:r>
        <w:separator/>
      </w:r>
    </w:p>
  </w:footnote>
  <w:footnote w:type="continuationSeparator" w:id="0">
    <w:p w14:paraId="5CF9393C" w14:textId="77777777" w:rsidR="009A3652" w:rsidRDefault="009A3652" w:rsidP="003C3F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2759718"/>
      <w:docPartObj>
        <w:docPartGallery w:val="Page Numbers (Top of Page)"/>
        <w:docPartUnique/>
      </w:docPartObj>
    </w:sdtPr>
    <w:sdtEndPr/>
    <w:sdtContent>
      <w:p w14:paraId="77EA7E82" w14:textId="10042E13" w:rsidR="003C3F86" w:rsidRDefault="003C3F86">
        <w:pPr>
          <w:pStyle w:val="Encabezado"/>
          <w:jc w:val="right"/>
        </w:pPr>
        <w:r>
          <w:fldChar w:fldCharType="begin"/>
        </w:r>
        <w:r>
          <w:instrText>PAGE   \* MERGEFORMAT</w:instrText>
        </w:r>
        <w:r>
          <w:fldChar w:fldCharType="separate"/>
        </w:r>
        <w:r>
          <w:rPr>
            <w:lang w:val="es-MX"/>
          </w:rPr>
          <w:t>2</w:t>
        </w:r>
        <w:r>
          <w:fldChar w:fldCharType="end"/>
        </w:r>
      </w:p>
    </w:sdtContent>
  </w:sdt>
  <w:p w14:paraId="1132EDAC" w14:textId="77777777" w:rsidR="003C3F86" w:rsidRDefault="003C3F8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F339B"/>
    <w:multiLevelType w:val="hybridMultilevel"/>
    <w:tmpl w:val="C8A016AA"/>
    <w:lvl w:ilvl="0" w:tplc="480A000B">
      <w:start w:val="1"/>
      <w:numFmt w:val="bullet"/>
      <w:lvlText w:val=""/>
      <w:lvlJc w:val="left"/>
      <w:pPr>
        <w:ind w:left="1724" w:hanging="360"/>
      </w:pPr>
      <w:rPr>
        <w:rFonts w:ascii="Wingdings" w:hAnsi="Wingdings" w:hint="default"/>
      </w:rPr>
    </w:lvl>
    <w:lvl w:ilvl="1" w:tplc="480A0003" w:tentative="1">
      <w:start w:val="1"/>
      <w:numFmt w:val="bullet"/>
      <w:lvlText w:val="o"/>
      <w:lvlJc w:val="left"/>
      <w:pPr>
        <w:ind w:left="2444" w:hanging="360"/>
      </w:pPr>
      <w:rPr>
        <w:rFonts w:ascii="Courier New" w:hAnsi="Courier New" w:cs="Courier New" w:hint="default"/>
      </w:rPr>
    </w:lvl>
    <w:lvl w:ilvl="2" w:tplc="480A0005" w:tentative="1">
      <w:start w:val="1"/>
      <w:numFmt w:val="bullet"/>
      <w:lvlText w:val=""/>
      <w:lvlJc w:val="left"/>
      <w:pPr>
        <w:ind w:left="3164" w:hanging="360"/>
      </w:pPr>
      <w:rPr>
        <w:rFonts w:ascii="Wingdings" w:hAnsi="Wingdings" w:hint="default"/>
      </w:rPr>
    </w:lvl>
    <w:lvl w:ilvl="3" w:tplc="480A0001" w:tentative="1">
      <w:start w:val="1"/>
      <w:numFmt w:val="bullet"/>
      <w:lvlText w:val=""/>
      <w:lvlJc w:val="left"/>
      <w:pPr>
        <w:ind w:left="3884" w:hanging="360"/>
      </w:pPr>
      <w:rPr>
        <w:rFonts w:ascii="Symbol" w:hAnsi="Symbol" w:hint="default"/>
      </w:rPr>
    </w:lvl>
    <w:lvl w:ilvl="4" w:tplc="480A0003" w:tentative="1">
      <w:start w:val="1"/>
      <w:numFmt w:val="bullet"/>
      <w:lvlText w:val="o"/>
      <w:lvlJc w:val="left"/>
      <w:pPr>
        <w:ind w:left="4604" w:hanging="360"/>
      </w:pPr>
      <w:rPr>
        <w:rFonts w:ascii="Courier New" w:hAnsi="Courier New" w:cs="Courier New" w:hint="default"/>
      </w:rPr>
    </w:lvl>
    <w:lvl w:ilvl="5" w:tplc="480A0005" w:tentative="1">
      <w:start w:val="1"/>
      <w:numFmt w:val="bullet"/>
      <w:lvlText w:val=""/>
      <w:lvlJc w:val="left"/>
      <w:pPr>
        <w:ind w:left="5324" w:hanging="360"/>
      </w:pPr>
      <w:rPr>
        <w:rFonts w:ascii="Wingdings" w:hAnsi="Wingdings" w:hint="default"/>
      </w:rPr>
    </w:lvl>
    <w:lvl w:ilvl="6" w:tplc="480A0001" w:tentative="1">
      <w:start w:val="1"/>
      <w:numFmt w:val="bullet"/>
      <w:lvlText w:val=""/>
      <w:lvlJc w:val="left"/>
      <w:pPr>
        <w:ind w:left="6044" w:hanging="360"/>
      </w:pPr>
      <w:rPr>
        <w:rFonts w:ascii="Symbol" w:hAnsi="Symbol" w:hint="default"/>
      </w:rPr>
    </w:lvl>
    <w:lvl w:ilvl="7" w:tplc="480A0003" w:tentative="1">
      <w:start w:val="1"/>
      <w:numFmt w:val="bullet"/>
      <w:lvlText w:val="o"/>
      <w:lvlJc w:val="left"/>
      <w:pPr>
        <w:ind w:left="6764" w:hanging="360"/>
      </w:pPr>
      <w:rPr>
        <w:rFonts w:ascii="Courier New" w:hAnsi="Courier New" w:cs="Courier New" w:hint="default"/>
      </w:rPr>
    </w:lvl>
    <w:lvl w:ilvl="8" w:tplc="480A0005" w:tentative="1">
      <w:start w:val="1"/>
      <w:numFmt w:val="bullet"/>
      <w:lvlText w:val=""/>
      <w:lvlJc w:val="left"/>
      <w:pPr>
        <w:ind w:left="7484" w:hanging="360"/>
      </w:pPr>
      <w:rPr>
        <w:rFonts w:ascii="Wingdings" w:hAnsi="Wingdings" w:hint="default"/>
      </w:rPr>
    </w:lvl>
  </w:abstractNum>
  <w:abstractNum w:abstractNumId="1" w15:restartNumberingAfterBreak="0">
    <w:nsid w:val="19F874F6"/>
    <w:multiLevelType w:val="hybridMultilevel"/>
    <w:tmpl w:val="CD2CC452"/>
    <w:lvl w:ilvl="0" w:tplc="480A0001">
      <w:start w:val="1"/>
      <w:numFmt w:val="bullet"/>
      <w:lvlText w:val=""/>
      <w:lvlJc w:val="left"/>
      <w:pPr>
        <w:ind w:left="1724" w:hanging="360"/>
      </w:pPr>
      <w:rPr>
        <w:rFonts w:ascii="Symbol" w:hAnsi="Symbol" w:hint="default"/>
      </w:rPr>
    </w:lvl>
    <w:lvl w:ilvl="1" w:tplc="480A0003" w:tentative="1">
      <w:start w:val="1"/>
      <w:numFmt w:val="bullet"/>
      <w:lvlText w:val="o"/>
      <w:lvlJc w:val="left"/>
      <w:pPr>
        <w:ind w:left="2444" w:hanging="360"/>
      </w:pPr>
      <w:rPr>
        <w:rFonts w:ascii="Courier New" w:hAnsi="Courier New" w:cs="Courier New" w:hint="default"/>
      </w:rPr>
    </w:lvl>
    <w:lvl w:ilvl="2" w:tplc="480A0005" w:tentative="1">
      <w:start w:val="1"/>
      <w:numFmt w:val="bullet"/>
      <w:lvlText w:val=""/>
      <w:lvlJc w:val="left"/>
      <w:pPr>
        <w:ind w:left="3164" w:hanging="360"/>
      </w:pPr>
      <w:rPr>
        <w:rFonts w:ascii="Wingdings" w:hAnsi="Wingdings" w:hint="default"/>
      </w:rPr>
    </w:lvl>
    <w:lvl w:ilvl="3" w:tplc="480A0001" w:tentative="1">
      <w:start w:val="1"/>
      <w:numFmt w:val="bullet"/>
      <w:lvlText w:val=""/>
      <w:lvlJc w:val="left"/>
      <w:pPr>
        <w:ind w:left="3884" w:hanging="360"/>
      </w:pPr>
      <w:rPr>
        <w:rFonts w:ascii="Symbol" w:hAnsi="Symbol" w:hint="default"/>
      </w:rPr>
    </w:lvl>
    <w:lvl w:ilvl="4" w:tplc="480A0003" w:tentative="1">
      <w:start w:val="1"/>
      <w:numFmt w:val="bullet"/>
      <w:lvlText w:val="o"/>
      <w:lvlJc w:val="left"/>
      <w:pPr>
        <w:ind w:left="4604" w:hanging="360"/>
      </w:pPr>
      <w:rPr>
        <w:rFonts w:ascii="Courier New" w:hAnsi="Courier New" w:cs="Courier New" w:hint="default"/>
      </w:rPr>
    </w:lvl>
    <w:lvl w:ilvl="5" w:tplc="480A0005" w:tentative="1">
      <w:start w:val="1"/>
      <w:numFmt w:val="bullet"/>
      <w:lvlText w:val=""/>
      <w:lvlJc w:val="left"/>
      <w:pPr>
        <w:ind w:left="5324" w:hanging="360"/>
      </w:pPr>
      <w:rPr>
        <w:rFonts w:ascii="Wingdings" w:hAnsi="Wingdings" w:hint="default"/>
      </w:rPr>
    </w:lvl>
    <w:lvl w:ilvl="6" w:tplc="480A0001" w:tentative="1">
      <w:start w:val="1"/>
      <w:numFmt w:val="bullet"/>
      <w:lvlText w:val=""/>
      <w:lvlJc w:val="left"/>
      <w:pPr>
        <w:ind w:left="6044" w:hanging="360"/>
      </w:pPr>
      <w:rPr>
        <w:rFonts w:ascii="Symbol" w:hAnsi="Symbol" w:hint="default"/>
      </w:rPr>
    </w:lvl>
    <w:lvl w:ilvl="7" w:tplc="480A0003" w:tentative="1">
      <w:start w:val="1"/>
      <w:numFmt w:val="bullet"/>
      <w:lvlText w:val="o"/>
      <w:lvlJc w:val="left"/>
      <w:pPr>
        <w:ind w:left="6764" w:hanging="360"/>
      </w:pPr>
      <w:rPr>
        <w:rFonts w:ascii="Courier New" w:hAnsi="Courier New" w:cs="Courier New" w:hint="default"/>
      </w:rPr>
    </w:lvl>
    <w:lvl w:ilvl="8" w:tplc="480A0005" w:tentative="1">
      <w:start w:val="1"/>
      <w:numFmt w:val="bullet"/>
      <w:lvlText w:val=""/>
      <w:lvlJc w:val="left"/>
      <w:pPr>
        <w:ind w:left="7484" w:hanging="360"/>
      </w:pPr>
      <w:rPr>
        <w:rFonts w:ascii="Wingdings" w:hAnsi="Wingdings" w:hint="default"/>
      </w:rPr>
    </w:lvl>
  </w:abstractNum>
  <w:abstractNum w:abstractNumId="2" w15:restartNumberingAfterBreak="0">
    <w:nsid w:val="1A6015D1"/>
    <w:multiLevelType w:val="hybridMultilevel"/>
    <w:tmpl w:val="62584E7E"/>
    <w:lvl w:ilvl="0" w:tplc="480A0009">
      <w:start w:val="1"/>
      <w:numFmt w:val="bullet"/>
      <w:lvlText w:val=""/>
      <w:lvlJc w:val="left"/>
      <w:pPr>
        <w:ind w:left="1724" w:hanging="360"/>
      </w:pPr>
      <w:rPr>
        <w:rFonts w:ascii="Wingdings" w:hAnsi="Wingdings" w:hint="default"/>
      </w:rPr>
    </w:lvl>
    <w:lvl w:ilvl="1" w:tplc="480A0003" w:tentative="1">
      <w:start w:val="1"/>
      <w:numFmt w:val="bullet"/>
      <w:lvlText w:val="o"/>
      <w:lvlJc w:val="left"/>
      <w:pPr>
        <w:ind w:left="2444" w:hanging="360"/>
      </w:pPr>
      <w:rPr>
        <w:rFonts w:ascii="Courier New" w:hAnsi="Courier New" w:cs="Courier New" w:hint="default"/>
      </w:rPr>
    </w:lvl>
    <w:lvl w:ilvl="2" w:tplc="480A0005" w:tentative="1">
      <w:start w:val="1"/>
      <w:numFmt w:val="bullet"/>
      <w:lvlText w:val=""/>
      <w:lvlJc w:val="left"/>
      <w:pPr>
        <w:ind w:left="3164" w:hanging="360"/>
      </w:pPr>
      <w:rPr>
        <w:rFonts w:ascii="Wingdings" w:hAnsi="Wingdings" w:hint="default"/>
      </w:rPr>
    </w:lvl>
    <w:lvl w:ilvl="3" w:tplc="480A0001" w:tentative="1">
      <w:start w:val="1"/>
      <w:numFmt w:val="bullet"/>
      <w:lvlText w:val=""/>
      <w:lvlJc w:val="left"/>
      <w:pPr>
        <w:ind w:left="3884" w:hanging="360"/>
      </w:pPr>
      <w:rPr>
        <w:rFonts w:ascii="Symbol" w:hAnsi="Symbol" w:hint="default"/>
      </w:rPr>
    </w:lvl>
    <w:lvl w:ilvl="4" w:tplc="480A0003" w:tentative="1">
      <w:start w:val="1"/>
      <w:numFmt w:val="bullet"/>
      <w:lvlText w:val="o"/>
      <w:lvlJc w:val="left"/>
      <w:pPr>
        <w:ind w:left="4604" w:hanging="360"/>
      </w:pPr>
      <w:rPr>
        <w:rFonts w:ascii="Courier New" w:hAnsi="Courier New" w:cs="Courier New" w:hint="default"/>
      </w:rPr>
    </w:lvl>
    <w:lvl w:ilvl="5" w:tplc="480A0005" w:tentative="1">
      <w:start w:val="1"/>
      <w:numFmt w:val="bullet"/>
      <w:lvlText w:val=""/>
      <w:lvlJc w:val="left"/>
      <w:pPr>
        <w:ind w:left="5324" w:hanging="360"/>
      </w:pPr>
      <w:rPr>
        <w:rFonts w:ascii="Wingdings" w:hAnsi="Wingdings" w:hint="default"/>
      </w:rPr>
    </w:lvl>
    <w:lvl w:ilvl="6" w:tplc="480A0001" w:tentative="1">
      <w:start w:val="1"/>
      <w:numFmt w:val="bullet"/>
      <w:lvlText w:val=""/>
      <w:lvlJc w:val="left"/>
      <w:pPr>
        <w:ind w:left="6044" w:hanging="360"/>
      </w:pPr>
      <w:rPr>
        <w:rFonts w:ascii="Symbol" w:hAnsi="Symbol" w:hint="default"/>
      </w:rPr>
    </w:lvl>
    <w:lvl w:ilvl="7" w:tplc="480A0003" w:tentative="1">
      <w:start w:val="1"/>
      <w:numFmt w:val="bullet"/>
      <w:lvlText w:val="o"/>
      <w:lvlJc w:val="left"/>
      <w:pPr>
        <w:ind w:left="6764" w:hanging="360"/>
      </w:pPr>
      <w:rPr>
        <w:rFonts w:ascii="Courier New" w:hAnsi="Courier New" w:cs="Courier New" w:hint="default"/>
      </w:rPr>
    </w:lvl>
    <w:lvl w:ilvl="8" w:tplc="480A0005" w:tentative="1">
      <w:start w:val="1"/>
      <w:numFmt w:val="bullet"/>
      <w:lvlText w:val=""/>
      <w:lvlJc w:val="left"/>
      <w:pPr>
        <w:ind w:left="7484" w:hanging="360"/>
      </w:pPr>
      <w:rPr>
        <w:rFonts w:ascii="Wingdings" w:hAnsi="Wingdings" w:hint="default"/>
      </w:rPr>
    </w:lvl>
  </w:abstractNum>
  <w:abstractNum w:abstractNumId="3" w15:restartNumberingAfterBreak="0">
    <w:nsid w:val="1D045C1C"/>
    <w:multiLevelType w:val="multilevel"/>
    <w:tmpl w:val="EAC88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90335"/>
    <w:multiLevelType w:val="hybridMultilevel"/>
    <w:tmpl w:val="4F4469B6"/>
    <w:lvl w:ilvl="0" w:tplc="480A000F">
      <w:start w:val="1"/>
      <w:numFmt w:val="decimal"/>
      <w:lvlText w:val="%1."/>
      <w:lvlJc w:val="left"/>
      <w:pPr>
        <w:ind w:left="1724" w:hanging="360"/>
      </w:pPr>
    </w:lvl>
    <w:lvl w:ilvl="1" w:tplc="480A0019" w:tentative="1">
      <w:start w:val="1"/>
      <w:numFmt w:val="lowerLetter"/>
      <w:lvlText w:val="%2."/>
      <w:lvlJc w:val="left"/>
      <w:pPr>
        <w:ind w:left="2444" w:hanging="360"/>
      </w:pPr>
    </w:lvl>
    <w:lvl w:ilvl="2" w:tplc="480A001B" w:tentative="1">
      <w:start w:val="1"/>
      <w:numFmt w:val="lowerRoman"/>
      <w:lvlText w:val="%3."/>
      <w:lvlJc w:val="right"/>
      <w:pPr>
        <w:ind w:left="3164" w:hanging="180"/>
      </w:pPr>
    </w:lvl>
    <w:lvl w:ilvl="3" w:tplc="480A000F" w:tentative="1">
      <w:start w:val="1"/>
      <w:numFmt w:val="decimal"/>
      <w:lvlText w:val="%4."/>
      <w:lvlJc w:val="left"/>
      <w:pPr>
        <w:ind w:left="3884" w:hanging="360"/>
      </w:pPr>
    </w:lvl>
    <w:lvl w:ilvl="4" w:tplc="480A0019" w:tentative="1">
      <w:start w:val="1"/>
      <w:numFmt w:val="lowerLetter"/>
      <w:lvlText w:val="%5."/>
      <w:lvlJc w:val="left"/>
      <w:pPr>
        <w:ind w:left="4604" w:hanging="360"/>
      </w:pPr>
    </w:lvl>
    <w:lvl w:ilvl="5" w:tplc="480A001B" w:tentative="1">
      <w:start w:val="1"/>
      <w:numFmt w:val="lowerRoman"/>
      <w:lvlText w:val="%6."/>
      <w:lvlJc w:val="right"/>
      <w:pPr>
        <w:ind w:left="5324" w:hanging="180"/>
      </w:pPr>
    </w:lvl>
    <w:lvl w:ilvl="6" w:tplc="480A000F" w:tentative="1">
      <w:start w:val="1"/>
      <w:numFmt w:val="decimal"/>
      <w:lvlText w:val="%7."/>
      <w:lvlJc w:val="left"/>
      <w:pPr>
        <w:ind w:left="6044" w:hanging="360"/>
      </w:pPr>
    </w:lvl>
    <w:lvl w:ilvl="7" w:tplc="480A0019" w:tentative="1">
      <w:start w:val="1"/>
      <w:numFmt w:val="lowerLetter"/>
      <w:lvlText w:val="%8."/>
      <w:lvlJc w:val="left"/>
      <w:pPr>
        <w:ind w:left="6764" w:hanging="360"/>
      </w:pPr>
    </w:lvl>
    <w:lvl w:ilvl="8" w:tplc="480A001B" w:tentative="1">
      <w:start w:val="1"/>
      <w:numFmt w:val="lowerRoman"/>
      <w:lvlText w:val="%9."/>
      <w:lvlJc w:val="right"/>
      <w:pPr>
        <w:ind w:left="7484" w:hanging="180"/>
      </w:pPr>
    </w:lvl>
  </w:abstractNum>
  <w:abstractNum w:abstractNumId="5" w15:restartNumberingAfterBreak="0">
    <w:nsid w:val="3A40567B"/>
    <w:multiLevelType w:val="hybridMultilevel"/>
    <w:tmpl w:val="2DE03332"/>
    <w:lvl w:ilvl="0" w:tplc="480A000F">
      <w:start w:val="1"/>
      <w:numFmt w:val="decimal"/>
      <w:lvlText w:val="%1."/>
      <w:lvlJc w:val="left"/>
      <w:pPr>
        <w:ind w:left="1724" w:hanging="360"/>
      </w:pPr>
    </w:lvl>
    <w:lvl w:ilvl="1" w:tplc="480A0019" w:tentative="1">
      <w:start w:val="1"/>
      <w:numFmt w:val="lowerLetter"/>
      <w:lvlText w:val="%2."/>
      <w:lvlJc w:val="left"/>
      <w:pPr>
        <w:ind w:left="2444" w:hanging="360"/>
      </w:pPr>
    </w:lvl>
    <w:lvl w:ilvl="2" w:tplc="480A001B" w:tentative="1">
      <w:start w:val="1"/>
      <w:numFmt w:val="lowerRoman"/>
      <w:lvlText w:val="%3."/>
      <w:lvlJc w:val="right"/>
      <w:pPr>
        <w:ind w:left="3164" w:hanging="180"/>
      </w:pPr>
    </w:lvl>
    <w:lvl w:ilvl="3" w:tplc="480A000F" w:tentative="1">
      <w:start w:val="1"/>
      <w:numFmt w:val="decimal"/>
      <w:lvlText w:val="%4."/>
      <w:lvlJc w:val="left"/>
      <w:pPr>
        <w:ind w:left="3884" w:hanging="360"/>
      </w:pPr>
    </w:lvl>
    <w:lvl w:ilvl="4" w:tplc="480A0019" w:tentative="1">
      <w:start w:val="1"/>
      <w:numFmt w:val="lowerLetter"/>
      <w:lvlText w:val="%5."/>
      <w:lvlJc w:val="left"/>
      <w:pPr>
        <w:ind w:left="4604" w:hanging="360"/>
      </w:pPr>
    </w:lvl>
    <w:lvl w:ilvl="5" w:tplc="480A001B" w:tentative="1">
      <w:start w:val="1"/>
      <w:numFmt w:val="lowerRoman"/>
      <w:lvlText w:val="%6."/>
      <w:lvlJc w:val="right"/>
      <w:pPr>
        <w:ind w:left="5324" w:hanging="180"/>
      </w:pPr>
    </w:lvl>
    <w:lvl w:ilvl="6" w:tplc="480A000F" w:tentative="1">
      <w:start w:val="1"/>
      <w:numFmt w:val="decimal"/>
      <w:lvlText w:val="%7."/>
      <w:lvlJc w:val="left"/>
      <w:pPr>
        <w:ind w:left="6044" w:hanging="360"/>
      </w:pPr>
    </w:lvl>
    <w:lvl w:ilvl="7" w:tplc="480A0019" w:tentative="1">
      <w:start w:val="1"/>
      <w:numFmt w:val="lowerLetter"/>
      <w:lvlText w:val="%8."/>
      <w:lvlJc w:val="left"/>
      <w:pPr>
        <w:ind w:left="6764" w:hanging="360"/>
      </w:pPr>
    </w:lvl>
    <w:lvl w:ilvl="8" w:tplc="480A001B" w:tentative="1">
      <w:start w:val="1"/>
      <w:numFmt w:val="lowerRoman"/>
      <w:lvlText w:val="%9."/>
      <w:lvlJc w:val="right"/>
      <w:pPr>
        <w:ind w:left="7484" w:hanging="180"/>
      </w:pPr>
    </w:lvl>
  </w:abstractNum>
  <w:abstractNum w:abstractNumId="6" w15:restartNumberingAfterBreak="0">
    <w:nsid w:val="44A40369"/>
    <w:multiLevelType w:val="multilevel"/>
    <w:tmpl w:val="074A1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6208939">
    <w:abstractNumId w:val="6"/>
  </w:num>
  <w:num w:numId="2" w16cid:durableId="441188589">
    <w:abstractNumId w:val="5"/>
  </w:num>
  <w:num w:numId="3" w16cid:durableId="580677242">
    <w:abstractNumId w:val="1"/>
  </w:num>
  <w:num w:numId="4" w16cid:durableId="1090353193">
    <w:abstractNumId w:val="4"/>
  </w:num>
  <w:num w:numId="5" w16cid:durableId="387655350">
    <w:abstractNumId w:val="3"/>
  </w:num>
  <w:num w:numId="6" w16cid:durableId="524052613">
    <w:abstractNumId w:val="0"/>
  </w:num>
  <w:num w:numId="7" w16cid:durableId="9239538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F86"/>
    <w:rsid w:val="00041F76"/>
    <w:rsid w:val="000D05B7"/>
    <w:rsid w:val="000D40FD"/>
    <w:rsid w:val="001637E2"/>
    <w:rsid w:val="00210B23"/>
    <w:rsid w:val="003400DF"/>
    <w:rsid w:val="003C3654"/>
    <w:rsid w:val="003C3F86"/>
    <w:rsid w:val="00510538"/>
    <w:rsid w:val="00517AFD"/>
    <w:rsid w:val="00566A87"/>
    <w:rsid w:val="00632273"/>
    <w:rsid w:val="007A484A"/>
    <w:rsid w:val="00843B0D"/>
    <w:rsid w:val="00880CA9"/>
    <w:rsid w:val="009275FC"/>
    <w:rsid w:val="0095707B"/>
    <w:rsid w:val="00992D2C"/>
    <w:rsid w:val="009A3652"/>
    <w:rsid w:val="009F0FC9"/>
    <w:rsid w:val="00BF10C4"/>
    <w:rsid w:val="00BF1B80"/>
    <w:rsid w:val="00CF57DE"/>
    <w:rsid w:val="00CF6ED9"/>
    <w:rsid w:val="00DD0B13"/>
    <w:rsid w:val="00E76570"/>
    <w:rsid w:val="00E84DBF"/>
    <w:rsid w:val="00F26F38"/>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343CE"/>
  <w15:chartTrackingRefBased/>
  <w15:docId w15:val="{CA1880C6-E6DF-4CC8-BB04-263DAE7D6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H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F86"/>
    <w:pPr>
      <w:spacing w:line="480" w:lineRule="auto"/>
      <w:ind w:left="284" w:firstLine="720"/>
    </w:pPr>
    <w:rPr>
      <w:rFonts w:ascii="Times New Roman" w:hAnsi="Times New Roman"/>
    </w:rPr>
  </w:style>
  <w:style w:type="paragraph" w:styleId="Ttulo1">
    <w:name w:val="heading 1"/>
    <w:basedOn w:val="Normal"/>
    <w:next w:val="Normal"/>
    <w:link w:val="Ttulo1Car"/>
    <w:uiPriority w:val="9"/>
    <w:qFormat/>
    <w:rsid w:val="003C3F86"/>
    <w:pPr>
      <w:keepNext/>
      <w:keepLines/>
      <w:spacing w:before="360" w:after="80"/>
      <w:outlineLvl w:val="0"/>
    </w:pPr>
    <w:rPr>
      <w:rFonts w:eastAsiaTheme="majorEastAsia" w:cstheme="majorBidi"/>
      <w:b/>
      <w:szCs w:val="40"/>
    </w:rPr>
  </w:style>
  <w:style w:type="paragraph" w:styleId="Ttulo2">
    <w:name w:val="heading 2"/>
    <w:basedOn w:val="Normal"/>
    <w:next w:val="Normal"/>
    <w:link w:val="Ttulo2Car"/>
    <w:uiPriority w:val="9"/>
    <w:semiHidden/>
    <w:unhideWhenUsed/>
    <w:qFormat/>
    <w:rsid w:val="003C3F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C3F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3F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3F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3F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3F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3F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3F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3F86"/>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semiHidden/>
    <w:rsid w:val="003C3F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C3F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C3F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3F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3F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3F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3F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3F86"/>
    <w:rPr>
      <w:rFonts w:eastAsiaTheme="majorEastAsia" w:cstheme="majorBidi"/>
      <w:color w:val="272727" w:themeColor="text1" w:themeTint="D8"/>
    </w:rPr>
  </w:style>
  <w:style w:type="paragraph" w:styleId="Ttulo">
    <w:name w:val="Title"/>
    <w:basedOn w:val="Normal"/>
    <w:next w:val="Normal"/>
    <w:link w:val="TtuloCar"/>
    <w:uiPriority w:val="10"/>
    <w:qFormat/>
    <w:rsid w:val="003C3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3F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6F38"/>
    <w:pPr>
      <w:numPr>
        <w:ilvl w:val="1"/>
      </w:numPr>
      <w:ind w:left="284" w:firstLine="720"/>
    </w:pPr>
    <w:rPr>
      <w:rFonts w:eastAsiaTheme="majorEastAsia" w:cstheme="majorBidi"/>
      <w:b/>
      <w:spacing w:val="15"/>
      <w:szCs w:val="28"/>
      <w:lang w:val="es-419"/>
    </w:rPr>
  </w:style>
  <w:style w:type="character" w:customStyle="1" w:styleId="SubttuloCar">
    <w:name w:val="Subtítulo Car"/>
    <w:basedOn w:val="Fuentedeprrafopredeter"/>
    <w:link w:val="Subttulo"/>
    <w:uiPriority w:val="11"/>
    <w:rsid w:val="00F26F38"/>
    <w:rPr>
      <w:rFonts w:ascii="Times New Roman" w:eastAsiaTheme="majorEastAsia" w:hAnsi="Times New Roman" w:cstheme="majorBidi"/>
      <w:b/>
      <w:spacing w:val="15"/>
      <w:szCs w:val="28"/>
      <w:lang w:val="es-419"/>
    </w:rPr>
  </w:style>
  <w:style w:type="paragraph" w:styleId="Cita">
    <w:name w:val="Quote"/>
    <w:basedOn w:val="Normal"/>
    <w:next w:val="Normal"/>
    <w:link w:val="CitaCar"/>
    <w:uiPriority w:val="29"/>
    <w:qFormat/>
    <w:rsid w:val="003C3F86"/>
    <w:pPr>
      <w:spacing w:before="160"/>
      <w:jc w:val="center"/>
    </w:pPr>
    <w:rPr>
      <w:i/>
      <w:iCs/>
      <w:color w:val="404040" w:themeColor="text1" w:themeTint="BF"/>
    </w:rPr>
  </w:style>
  <w:style w:type="character" w:customStyle="1" w:styleId="CitaCar">
    <w:name w:val="Cita Car"/>
    <w:basedOn w:val="Fuentedeprrafopredeter"/>
    <w:link w:val="Cita"/>
    <w:uiPriority w:val="29"/>
    <w:rsid w:val="003C3F86"/>
    <w:rPr>
      <w:i/>
      <w:iCs/>
      <w:color w:val="404040" w:themeColor="text1" w:themeTint="BF"/>
    </w:rPr>
  </w:style>
  <w:style w:type="paragraph" w:styleId="Prrafodelista">
    <w:name w:val="List Paragraph"/>
    <w:basedOn w:val="Normal"/>
    <w:uiPriority w:val="34"/>
    <w:qFormat/>
    <w:rsid w:val="003C3F86"/>
    <w:pPr>
      <w:ind w:left="720"/>
      <w:contextualSpacing/>
    </w:pPr>
  </w:style>
  <w:style w:type="character" w:styleId="nfasisintenso">
    <w:name w:val="Intense Emphasis"/>
    <w:basedOn w:val="Fuentedeprrafopredeter"/>
    <w:uiPriority w:val="21"/>
    <w:qFormat/>
    <w:rsid w:val="003C3F86"/>
    <w:rPr>
      <w:i/>
      <w:iCs/>
      <w:color w:val="0F4761" w:themeColor="accent1" w:themeShade="BF"/>
    </w:rPr>
  </w:style>
  <w:style w:type="paragraph" w:styleId="Citadestacada">
    <w:name w:val="Intense Quote"/>
    <w:basedOn w:val="Normal"/>
    <w:next w:val="Normal"/>
    <w:link w:val="CitadestacadaCar"/>
    <w:uiPriority w:val="30"/>
    <w:qFormat/>
    <w:rsid w:val="003C3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3F86"/>
    <w:rPr>
      <w:i/>
      <w:iCs/>
      <w:color w:val="0F4761" w:themeColor="accent1" w:themeShade="BF"/>
    </w:rPr>
  </w:style>
  <w:style w:type="character" w:styleId="Referenciaintensa">
    <w:name w:val="Intense Reference"/>
    <w:basedOn w:val="Fuentedeprrafopredeter"/>
    <w:uiPriority w:val="32"/>
    <w:qFormat/>
    <w:rsid w:val="003C3F86"/>
    <w:rPr>
      <w:b/>
      <w:bCs/>
      <w:smallCaps/>
      <w:color w:val="0F4761" w:themeColor="accent1" w:themeShade="BF"/>
      <w:spacing w:val="5"/>
    </w:rPr>
  </w:style>
  <w:style w:type="paragraph" w:styleId="Encabezado">
    <w:name w:val="header"/>
    <w:basedOn w:val="Normal"/>
    <w:link w:val="EncabezadoCar"/>
    <w:uiPriority w:val="99"/>
    <w:unhideWhenUsed/>
    <w:rsid w:val="003C3F86"/>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3C3F86"/>
    <w:rPr>
      <w:rFonts w:ascii="Times New Roman" w:hAnsi="Times New Roman"/>
    </w:rPr>
  </w:style>
  <w:style w:type="paragraph" w:styleId="Piedepgina">
    <w:name w:val="footer"/>
    <w:basedOn w:val="Normal"/>
    <w:link w:val="PiedepginaCar"/>
    <w:uiPriority w:val="99"/>
    <w:unhideWhenUsed/>
    <w:rsid w:val="003C3F86"/>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3C3F86"/>
    <w:rPr>
      <w:rFonts w:ascii="Times New Roman" w:hAnsi="Times New Roman"/>
    </w:rPr>
  </w:style>
  <w:style w:type="paragraph" w:styleId="Sinespaciado">
    <w:name w:val="No Spacing"/>
    <w:link w:val="SinespaciadoCar"/>
    <w:uiPriority w:val="1"/>
    <w:qFormat/>
    <w:rsid w:val="003C3F86"/>
    <w:pPr>
      <w:spacing w:after="0" w:line="240" w:lineRule="auto"/>
    </w:pPr>
    <w:rPr>
      <w:rFonts w:eastAsiaTheme="minorEastAsia"/>
      <w:kern w:val="0"/>
      <w:sz w:val="22"/>
      <w:szCs w:val="22"/>
      <w:lang w:eastAsia="es-HN"/>
      <w14:ligatures w14:val="none"/>
    </w:rPr>
  </w:style>
  <w:style w:type="character" w:customStyle="1" w:styleId="SinespaciadoCar">
    <w:name w:val="Sin espaciado Car"/>
    <w:basedOn w:val="Fuentedeprrafopredeter"/>
    <w:link w:val="Sinespaciado"/>
    <w:uiPriority w:val="1"/>
    <w:rsid w:val="003C3F86"/>
    <w:rPr>
      <w:rFonts w:eastAsiaTheme="minorEastAsia"/>
      <w:kern w:val="0"/>
      <w:sz w:val="22"/>
      <w:szCs w:val="22"/>
      <w:lang w:eastAsia="es-HN"/>
      <w14:ligatures w14:val="none"/>
    </w:rPr>
  </w:style>
  <w:style w:type="paragraph" w:styleId="Descripcin">
    <w:name w:val="caption"/>
    <w:basedOn w:val="Normal"/>
    <w:next w:val="Normal"/>
    <w:uiPriority w:val="35"/>
    <w:semiHidden/>
    <w:unhideWhenUsed/>
    <w:qFormat/>
    <w:rsid w:val="003C3654"/>
    <w:pPr>
      <w:spacing w:after="200" w:line="240" w:lineRule="auto"/>
    </w:pPr>
    <w:rPr>
      <w:i/>
      <w:iCs/>
      <w:color w:val="0E2841" w:themeColor="text2"/>
      <w:sz w:val="18"/>
      <w:szCs w:val="18"/>
    </w:rPr>
  </w:style>
  <w:style w:type="paragraph" w:styleId="Bibliografa">
    <w:name w:val="Bibliography"/>
    <w:basedOn w:val="Normal"/>
    <w:next w:val="Normal"/>
    <w:uiPriority w:val="37"/>
    <w:unhideWhenUsed/>
    <w:rsid w:val="00E76570"/>
  </w:style>
  <w:style w:type="paragraph" w:styleId="TtuloTDC">
    <w:name w:val="TOC Heading"/>
    <w:basedOn w:val="Ttulo1"/>
    <w:next w:val="Normal"/>
    <w:uiPriority w:val="39"/>
    <w:unhideWhenUsed/>
    <w:qFormat/>
    <w:rsid w:val="00E76570"/>
    <w:pPr>
      <w:spacing w:before="240" w:after="0" w:line="259" w:lineRule="auto"/>
      <w:ind w:left="0" w:firstLine="0"/>
      <w:outlineLvl w:val="9"/>
    </w:pPr>
    <w:rPr>
      <w:rFonts w:asciiTheme="majorHAnsi" w:hAnsiTheme="majorHAnsi"/>
      <w:b w:val="0"/>
      <w:color w:val="0F4761" w:themeColor="accent1" w:themeShade="BF"/>
      <w:kern w:val="0"/>
      <w:sz w:val="32"/>
      <w:szCs w:val="32"/>
      <w:lang w:eastAsia="es-HN"/>
      <w14:ligatures w14:val="none"/>
    </w:rPr>
  </w:style>
  <w:style w:type="paragraph" w:styleId="TDC1">
    <w:name w:val="toc 1"/>
    <w:basedOn w:val="Normal"/>
    <w:next w:val="Normal"/>
    <w:autoRedefine/>
    <w:uiPriority w:val="39"/>
    <w:unhideWhenUsed/>
    <w:rsid w:val="00E76570"/>
    <w:pPr>
      <w:spacing w:after="100"/>
      <w:ind w:left="0"/>
    </w:pPr>
  </w:style>
  <w:style w:type="character" w:styleId="Hipervnculo">
    <w:name w:val="Hyperlink"/>
    <w:basedOn w:val="Fuentedeprrafopredeter"/>
    <w:uiPriority w:val="99"/>
    <w:unhideWhenUsed/>
    <w:rsid w:val="00E7657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602231">
      <w:bodyDiv w:val="1"/>
      <w:marLeft w:val="0"/>
      <w:marRight w:val="0"/>
      <w:marTop w:val="0"/>
      <w:marBottom w:val="0"/>
      <w:divBdr>
        <w:top w:val="none" w:sz="0" w:space="0" w:color="auto"/>
        <w:left w:val="none" w:sz="0" w:space="0" w:color="auto"/>
        <w:bottom w:val="none" w:sz="0" w:space="0" w:color="auto"/>
        <w:right w:val="none" w:sz="0" w:space="0" w:color="auto"/>
      </w:divBdr>
    </w:div>
    <w:div w:id="1684477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NCa25</b:Tag>
    <b:SourceType>InternetSite</b:SourceType>
    <b:Guid>{5E777D33-DD05-467D-AD58-ADBCBB51190C}</b:Guid>
    <b:Author>
      <b:Author>
        <b:NameList>
          <b:Person>
            <b:Last>Alachisoft</b:Last>
            <b:First>NCache</b:First>
            <b:Middle>by</b:Middle>
          </b:Person>
        </b:NameList>
      </b:Author>
    </b:Author>
    <b:Title>Migración de SQL a NoSQL Databases</b:Title>
    <b:InternetSiteTitle>Alachisoft</b:InternetSiteTitle>
    <b:Year>2025</b:Year>
    <b:URL>https://www.alachisoft.com/es/resources/whitepapers/sql-to-nosql-migration.php</b:URL>
    <b:RefOrder>1</b:RefOrder>
  </b:Source>
</b:Sources>
</file>

<file path=customXml/itemProps1.xml><?xml version="1.0" encoding="utf-8"?>
<ds:datastoreItem xmlns:ds="http://schemas.openxmlformats.org/officeDocument/2006/customXml" ds:itemID="{7D52B67B-26B3-4EB9-94CC-D653A046C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12</Pages>
  <Words>1459</Words>
  <Characters>8029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Leisy Tathum</dc:creator>
  <cp:keywords/>
  <dc:description/>
  <cp:lastModifiedBy>Leisy Tathum</cp:lastModifiedBy>
  <cp:revision>11</cp:revision>
  <dcterms:created xsi:type="dcterms:W3CDTF">2025-11-08T21:00:00Z</dcterms:created>
  <dcterms:modified xsi:type="dcterms:W3CDTF">2025-11-08T21:45:00Z</dcterms:modified>
</cp:coreProperties>
</file>