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71BF3C73">
      <w:pPr>
        <w:pStyle w:val="000003"/>
        <w:keepNext w:val="1"/>
        <w:keepLines w:val="1"/>
        <w:pBdr>
          <w:top w:space="45"/>
        </w:pBdr>
        <w:spacing w:before="100" w:beforeAutospacing="1" w:after="100" w:afterAutospacing="1"/>
        <w:jc w:val="center"/>
        <w:outlineLvl w:val="0"/>
        <w:rPr>
          <w:color w:val="1f2a37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f2a37"/>
          <w:sz w:val="44"/>
        </w:rPr>
        <w:t>项目实施报价单</w:t>
      </w:r>
    </w:p>
    <w:p w14:paraId="6C5925BD">
      <w:pPr>
        <w:pBdr>
          <w:top w:space="45"/>
        </w:pBdr>
        <w:spacing w:before="120"/>
        <w:jc w:val="center"/>
        <w:rPr>
          <w:color w:val="5b6b7c"/>
        </w:rPr>
      </w:pPr>
      <w:r>
        <w:rPr>
          <w:rFonts w:hint="eastAsia" w:ascii="Microsoft YaHei" w:hAnsi="Microsoft YaHei" w:eastAsia="Microsoft YaHei" w:cs="Microsoft YaHei"/>
          <w:color w:val="5b6b7c"/>
          <w:sz w:val="26"/>
        </w:rPr>
        <w:t>费对账与计费争议 · AI 数智系统建设</w:t>
      </w:r>
    </w:p>
    <w:tbl>
      <w:tblPr>
        <w:tblW w:w="6644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1f2a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3"/>
        <w:gridCol w:w="4651"/>
      </w:tblGrid>
      <w:tr>
        <w:trPr/>
        <w:tc>
          <w:tcPr>
            <w:tcW w:w="1993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FDB21C9">
            <w:pPr>
              <w:jc w:val="center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报价编号：</w:t>
            </w:r>
          </w:p>
        </w:tc>
        <w:tc>
          <w:tcPr>
            <w:tcW w:w="4651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1C003C5A">
            <w:pPr>
              <w:jc w:val="center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【QUOTE-2026-FY001】</w:t>
            </w:r>
          </w:p>
        </w:tc>
      </w:tr>
      <w:tr>
        <w:trPr/>
        <w:tc>
          <w:tcPr>
            <w:tcW w:w="1993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DF9E39E">
            <w:pPr>
              <w:jc w:val="center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报价单位：</w:t>
            </w:r>
          </w:p>
        </w:tc>
        <w:tc>
          <w:tcPr>
            <w:tcW w:w="4651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32E4309">
            <w:pPr>
              <w:jc w:val="center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【乙方公司名称 / 盖章】</w:t>
            </w:r>
          </w:p>
        </w:tc>
      </w:tr>
      <w:tr>
        <w:trPr/>
        <w:tc>
          <w:tcPr>
            <w:tcW w:w="1993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4EF9905">
            <w:pPr>
              <w:jc w:val="center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客户单位：</w:t>
            </w:r>
          </w:p>
        </w:tc>
        <w:tc>
          <w:tcPr>
            <w:tcW w:w="4651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33EEC1C">
            <w:pPr>
              <w:jc w:val="center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【甲方公司名称】</w:t>
            </w:r>
          </w:p>
        </w:tc>
      </w:tr>
      <w:tr>
        <w:trPr/>
        <w:tc>
          <w:tcPr>
            <w:tcW w:w="1993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4800821">
            <w:pPr>
              <w:jc w:val="center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报价日期：</w:t>
            </w:r>
          </w:p>
        </w:tc>
        <w:tc>
          <w:tcPr>
            <w:tcW w:w="4651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4EB7F44">
            <w:pPr>
              <w:jc w:val="center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2026 年 10 月 23 日</w:t>
            </w:r>
          </w:p>
        </w:tc>
      </w:tr>
      <w:tr>
        <w:trPr/>
        <w:tc>
          <w:tcPr>
            <w:tcW w:w="1993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87B97D9">
            <w:pPr>
              <w:jc w:val="center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有效期：</w:t>
            </w:r>
          </w:p>
        </w:tc>
        <w:tc>
          <w:tcPr>
            <w:tcW w:w="4651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F95021">
            <w:pPr>
              <w:jc w:val="center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自报价之日起 30 个自然日</w:t>
            </w:r>
          </w:p>
        </w:tc>
      </w:tr>
      <w:tr>
        <w:trPr/>
        <w:tc>
          <w:tcPr>
            <w:tcW w:w="1993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D001415">
            <w:pPr>
              <w:jc w:val="center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项目周期：</w:t>
            </w:r>
          </w:p>
        </w:tc>
        <w:tc>
          <w:tcPr>
            <w:tcW w:w="4651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F67E19D">
            <w:pPr>
              <w:jc w:val="center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约 4–6 个月（含试点验证）</w:t>
            </w:r>
          </w:p>
        </w:tc>
      </w:tr>
    </w:tbl>
    <w:p w14:paraId="743C8424">
      <w:pPr>
        <w:pStyle w:val="000003"/>
        <w:keepNext w:val="1"/>
        <w:keepLines w:val="1"/>
        <w:pBdr>
          <w:left w:val="single" w:color="2f6df0" w:sz="36" w:space="6"/>
        </w:pBdr>
        <w:spacing w:before="330" w:beforeAutospacing="1" w:after="330" w:afterAutospacing="1"/>
        <w:ind w:left="330" w:right="330"/>
        <w:outlineLvl w:val="0"/>
        <w:rPr>
          <w:color w:val="1f2a37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f2a37"/>
          <w:sz w:val="30"/>
        </w:rPr>
        <w:t>一、项目背景与建设目标</w:t>
      </w:r>
    </w:p>
    <w:p w14:paraId="264B4F35">
      <w:pPr>
        <w:spacing w:before="60" w:after="60" w:line="408"/>
        <w:ind w:left="60" w:right="60"/>
        <w:rPr>
          <w:color w:val="1f2a37"/>
        </w:rPr>
      </w:pPr>
      <w:r>
        <w:rPr>
          <w:rFonts w:hint="eastAsia" w:ascii="Microsoft YaHei" w:hAnsi="Microsoft YaHei" w:eastAsia="Microsoft YaHei" w:cs="Microsoft YaHei"/>
          <w:color w:val="1f2a37"/>
          <w:sz w:val="21"/>
        </w:rPr>
        <w:t>依据《东航陆运·业务需求发现报告》六位访谈口径梳理，当前运费对账存在「实际重量 / 体积重量 / 保底重量」口径混用、合同版本与时间口径不一致、跨系统状态无统一视图、争议处理周期长（平均 15 天）等问题，每月差异项约 1,200 个。本报价针对「费对账与计费争议 AI 数智系统」首期建设，目标为：差异项压降至 400 个/月、对账周期由 15 天降至 7 天、计费结果可重现率 100%、未授权扣费为零。</w:t>
      </w:r>
    </w:p>
    <w:p w14:paraId="2C6C93C4">
      <w:pPr>
        <w:spacing w:before="60" w:after="60" w:line="408"/>
        <w:ind w:left="60" w:right="60"/>
        <w:rPr>
          <w:color w:val="1f2a37"/>
        </w:rPr>
      </w:pPr>
      <w:r>
        <w:rPr>
          <w:rFonts w:hint="eastAsia" w:ascii="Microsoft YaHei" w:hAnsi="Microsoft YaHei" w:eastAsia="Microsoft YaHei" w:cs="Microsoft YaHei"/>
          <w:color w:val="1f2a37"/>
          <w:sz w:val="21"/>
        </w:rPr>
        <w:t>首期定位为</w:t>
      </w:r>
      <w:r>
        <w:rPr>
          <w:rFonts w:hint="eastAsia" w:ascii="Microsoft YaHei" w:hAnsi="Microsoft YaHei" w:eastAsia="Microsoft YaHei" w:cs="Microsoft YaHei"/>
          <w:b w:val="1"/>
          <w:color w:val="1f2a37"/>
          <w:sz w:val="21"/>
        </w:rPr>
        <w:t>只读建议与依据归集</w:t>
      </w:r>
      <w:r>
        <w:rPr>
          <w:rFonts w:hint="eastAsia" w:ascii="Microsoft YaHei" w:hAnsi="Microsoft YaHei" w:eastAsia="Microsoft YaHei" w:cs="Microsoft YaHei"/>
          <w:color w:val="1f2a37"/>
          <w:sz w:val="21"/>
        </w:rPr>
        <w:t>：AI 仅输出差异解释与计算过程，不自动付款或扣罚；合同变更与赔付不得由模型认定。本报价据此测算分项投入。</w:t>
      </w:r>
    </w:p>
    <w:p w14:paraId="01DB9239">
      <w:pPr>
        <w:pStyle w:val="000003"/>
        <w:keepNext w:val="1"/>
        <w:keepLines w:val="1"/>
        <w:pBdr>
          <w:left w:val="single" w:color="2f6df0" w:sz="36" w:space="6"/>
        </w:pBdr>
        <w:spacing w:before="330" w:beforeAutospacing="1" w:after="330" w:afterAutospacing="1"/>
        <w:ind w:left="330" w:right="330"/>
        <w:outlineLvl w:val="0"/>
        <w:rPr>
          <w:color w:val="1f2a37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f2a37"/>
          <w:sz w:val="30"/>
        </w:rPr>
        <w:t>二、报价明细</w:t>
      </w:r>
    </w:p>
    <w:p w14:paraId="7FA74767">
      <w:pPr>
        <w:spacing w:before="60" w:after="60" w:line="408"/>
        <w:ind w:left="60" w:right="60"/>
        <w:rPr>
          <w:color w:val="6b7785"/>
        </w:rPr>
      </w:pPr>
      <w:r>
        <w:rPr>
          <w:rFonts w:hint="eastAsia" w:ascii="Microsoft YaHei" w:hAnsi="Microsoft YaHei" w:eastAsia="Microsoft YaHei" w:cs="Microsoft YaHei"/>
          <w:color w:val="6b7785"/>
          <w:sz w:val="18"/>
        </w:rPr>
        <w:t>说明：以下人天为参考测算口径，最终以双方确认的《需求规格说明书》为准；单价含直接人工，不含第三方软硬件采购。</w:t>
      </w:r>
    </w:p>
    <w:tbl>
      <w:tblPr>
        <w:tblW w:w="8306" w:type="dxa"/>
        <w:shd w:color="1f2a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"/>
        <w:gridCol w:w="1495"/>
        <w:gridCol w:w="3906"/>
        <w:gridCol w:w="747"/>
        <w:gridCol w:w="830"/>
        <w:gridCol w:w="913"/>
      </w:tblGrid>
      <w:tr>
        <w:trPr>
          <w:tblHeader w:val="1"/>
        </w:trPr>
        <w:tc>
          <w:tcPr>
            <w:tcW w:w="41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shd w:val="clear" w:fill="eaf1ff"/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680D7A1">
            <w:pPr>
              <w:jc w:val="center"/>
              <w:rPr>
                <w:b w:val="1"/>
                <w:bCs w:val="1"/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a37"/>
                <w:sz w:val="19"/>
              </w:rPr>
              <w:t>序号</w:t>
            </w:r>
          </w:p>
        </w:tc>
        <w:tc>
          <w:tcPr>
            <w:tcW w:w="149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shd w:val="clear" w:fill="eaf1ff"/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6FDE051">
            <w:pPr>
              <w:jc w:val="center"/>
              <w:rPr>
                <w:b w:val="1"/>
                <w:bCs w:val="1"/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a37"/>
                <w:sz w:val="19"/>
              </w:rPr>
              <w:t>模块 / 服务</w:t>
            </w:r>
          </w:p>
        </w:tc>
        <w:tc>
          <w:tcPr>
            <w:tcW w:w="3906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shd w:val="clear" w:fill="eaf1ff"/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83D4CDD">
            <w:pPr>
              <w:jc w:val="center"/>
              <w:rPr>
                <w:b w:val="1"/>
                <w:bCs w:val="1"/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a37"/>
                <w:sz w:val="19"/>
              </w:rPr>
              <w:t>工作内容说明</w:t>
            </w:r>
          </w:p>
        </w:tc>
        <w:tc>
          <w:tcPr>
            <w:tcW w:w="747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shd w:val="clear" w:fill="eaf1ff"/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1DB06C2">
            <w:pPr>
              <w:jc w:val="center"/>
              <w:rPr>
                <w:b w:val="1"/>
                <w:bCs w:val="1"/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a37"/>
                <w:sz w:val="19"/>
              </w:rPr>
              <w:t>工作量</w:t>
            </w:r>
          </w:p>
        </w:tc>
        <w:tc>
          <w:tcPr>
            <w:tcW w:w="830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shd w:val="clear" w:fill="eaf1ff"/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8327449">
            <w:pPr>
              <w:jc w:val="center"/>
              <w:rPr>
                <w:b w:val="1"/>
                <w:bCs w:val="1"/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a37"/>
                <w:sz w:val="19"/>
              </w:rPr>
              <w:t>单价</w:t>
            </w:r>
          </w:p>
        </w:tc>
        <w:tc>
          <w:tcPr>
            <w:tcW w:w="913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shd w:val="clear" w:fill="eaf1ff"/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313E657">
            <w:pPr>
              <w:jc w:val="center"/>
              <w:rPr>
                <w:b w:val="1"/>
                <w:bCs w:val="1"/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a37"/>
                <w:sz w:val="19"/>
              </w:rPr>
              <w:t>小计</w:t>
            </w:r>
          </w:p>
        </w:tc>
      </w:tr>
      <w:tr>
        <w:trPr/>
        <w:tc>
          <w:tcPr>
            <w:tcW w:w="41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A7BB1D5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1</w:t>
            </w:r>
          </w:p>
        </w:tc>
        <w:tc>
          <w:tcPr>
            <w:tcW w:w="149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2927AAF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项目规划与计费规则梳理</w:t>
            </w:r>
          </w:p>
        </w:tc>
        <w:tc>
          <w:tcPr>
            <w:tcW w:w="3906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87688BB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需求调研、历史数据清洗、计费规则与合同口径（重量/版本/时间）梳理，法务深度参与</w:t>
            </w:r>
          </w:p>
        </w:tc>
        <w:tc>
          <w:tcPr>
            <w:tcW w:w="747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F25E256">
            <w:pPr>
              <w:jc w:val="right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6 人天</w:t>
            </w:r>
          </w:p>
        </w:tc>
        <w:tc>
          <w:tcPr>
            <w:tcW w:w="830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192B9C2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¥2,000</w:t>
            </w:r>
          </w:p>
        </w:tc>
        <w:tc>
          <w:tcPr>
            <w:tcW w:w="913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180515C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¥12,000</w:t>
            </w:r>
          </w:p>
        </w:tc>
      </w:tr>
      <w:tr>
        <w:trPr/>
        <w:tc>
          <w:tcPr>
            <w:tcW w:w="41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96BE0DE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2</w:t>
            </w:r>
          </w:p>
        </w:tc>
        <w:tc>
          <w:tcPr>
            <w:tcW w:w="149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B328CA2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计费规则引擎</w:t>
            </w:r>
          </w:p>
        </w:tc>
        <w:tc>
          <w:tcPr>
            <w:tcW w:w="3906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C5EA5E1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结构化费率模型、一客一策、保底/封顶/阶梯/附加费计算、合同版本与时间口径自动校验</w:t>
            </w:r>
          </w:p>
        </w:tc>
        <w:tc>
          <w:tcPr>
            <w:tcW w:w="747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0C95D5A">
            <w:pPr>
              <w:jc w:val="right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18 人天</w:t>
            </w:r>
          </w:p>
        </w:tc>
        <w:tc>
          <w:tcPr>
            <w:tcW w:w="830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281DADE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¥2,500</w:t>
            </w:r>
          </w:p>
        </w:tc>
        <w:tc>
          <w:tcPr>
            <w:tcW w:w="913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292F244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¥45,000</w:t>
            </w:r>
          </w:p>
        </w:tc>
      </w:tr>
      <w:tr>
        <w:trPr/>
        <w:tc>
          <w:tcPr>
            <w:tcW w:w="41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DBAA456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3</w:t>
            </w:r>
          </w:p>
        </w:tc>
        <w:tc>
          <w:tcPr>
            <w:tcW w:w="149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9AB5B2B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自动对账与异常预警</w:t>
            </w:r>
          </w:p>
        </w:tc>
        <w:tc>
          <w:tcPr>
            <w:tcW w:w="3906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C5F361F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理论账单自动生成、承运商账单比对、7 类异常（超收/漏收/单价偏离等）识别与预警</w:t>
            </w:r>
          </w:p>
        </w:tc>
        <w:tc>
          <w:tcPr>
            <w:tcW w:w="747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0E4CEAA">
            <w:pPr>
              <w:jc w:val="right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16 人天</w:t>
            </w:r>
          </w:p>
        </w:tc>
        <w:tc>
          <w:tcPr>
            <w:tcW w:w="830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325AFB6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¥2,500</w:t>
            </w:r>
          </w:p>
        </w:tc>
        <w:tc>
          <w:tcPr>
            <w:tcW w:w="913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3596640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¥40,000</w:t>
            </w:r>
          </w:p>
        </w:tc>
      </w:tr>
      <w:tr>
        <w:trPr/>
        <w:tc>
          <w:tcPr>
            <w:tcW w:w="41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A7CD04A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4</w:t>
            </w:r>
          </w:p>
        </w:tc>
        <w:tc>
          <w:tcPr>
            <w:tcW w:w="149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36B316B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AI 差异解释与依据归集</w:t>
            </w:r>
          </w:p>
        </w:tc>
        <w:tc>
          <w:tcPr>
            <w:tcW w:w="3906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7FFB3E7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差异明细 + 原始凭证 + 计算过程自动生成（只读建议，不自动扣罚），人工复核留痕</w:t>
            </w:r>
          </w:p>
        </w:tc>
        <w:tc>
          <w:tcPr>
            <w:tcW w:w="747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B64D36B">
            <w:pPr>
              <w:jc w:val="right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10 人天</w:t>
            </w:r>
          </w:p>
        </w:tc>
        <w:tc>
          <w:tcPr>
            <w:tcW w:w="830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9359CCF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¥2,500</w:t>
            </w:r>
          </w:p>
        </w:tc>
        <w:tc>
          <w:tcPr>
            <w:tcW w:w="913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9004443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¥25,000</w:t>
            </w:r>
          </w:p>
        </w:tc>
      </w:tr>
      <w:tr>
        <w:trPr/>
        <w:tc>
          <w:tcPr>
            <w:tcW w:w="41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1DCD5B9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5</w:t>
            </w:r>
          </w:p>
        </w:tc>
        <w:tc>
          <w:tcPr>
            <w:tcW w:w="149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1CB66AD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可视化争议看板 + BI 驾驶舱</w:t>
            </w:r>
          </w:p>
        </w:tc>
        <w:tc>
          <w:tcPr>
            <w:tcW w:w="3906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7B6F79A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争议看板、责任判定逻辑、成本分析与供应链协同视图</w:t>
            </w:r>
          </w:p>
        </w:tc>
        <w:tc>
          <w:tcPr>
            <w:tcW w:w="747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89776BD">
            <w:pPr>
              <w:jc w:val="right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8 人天</w:t>
            </w:r>
          </w:p>
        </w:tc>
        <w:tc>
          <w:tcPr>
            <w:tcW w:w="830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ED7B6A0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¥2,500</w:t>
            </w:r>
          </w:p>
        </w:tc>
        <w:tc>
          <w:tcPr>
            <w:tcW w:w="913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EC8DD35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¥20,000</w:t>
            </w:r>
          </w:p>
        </w:tc>
      </w:tr>
      <w:tr>
        <w:trPr/>
        <w:tc>
          <w:tcPr>
            <w:tcW w:w="41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72D7DF7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6</w:t>
            </w:r>
          </w:p>
        </w:tc>
        <w:tc>
          <w:tcPr>
            <w:tcW w:w="149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7005543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系统对接与集成</w:t>
            </w:r>
          </w:p>
        </w:tc>
        <w:tc>
          <w:tcPr>
            <w:tcW w:w="3906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E599280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TMS / 计费系统 / 财务 ERP 只读接口对接、统一状态视图与待刷新标记</w:t>
            </w:r>
          </w:p>
        </w:tc>
        <w:tc>
          <w:tcPr>
            <w:tcW w:w="747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3F6B889">
            <w:pPr>
              <w:jc w:val="right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6 人天</w:t>
            </w:r>
          </w:p>
        </w:tc>
        <w:tc>
          <w:tcPr>
            <w:tcW w:w="830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1377595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¥2,500</w:t>
            </w:r>
          </w:p>
        </w:tc>
        <w:tc>
          <w:tcPr>
            <w:tcW w:w="913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14F2D65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¥15,000</w:t>
            </w:r>
          </w:p>
        </w:tc>
      </w:tr>
      <w:tr>
        <w:trPr/>
        <w:tc>
          <w:tcPr>
            <w:tcW w:w="41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E6EA92B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7</w:t>
            </w:r>
          </w:p>
        </w:tc>
        <w:tc>
          <w:tcPr>
            <w:tcW w:w="149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AF6385E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试点验证与培训交付</w:t>
            </w:r>
          </w:p>
        </w:tc>
        <w:tc>
          <w:tcPr>
            <w:tcW w:w="3906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3F00AC9C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两家承运商历史回放 + 并行试点、规则复测、用户培训与操作手册</w:t>
            </w:r>
          </w:p>
        </w:tc>
        <w:tc>
          <w:tcPr>
            <w:tcW w:w="747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07A99BB">
            <w:pPr>
              <w:jc w:val="right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6 人天</w:t>
            </w:r>
          </w:p>
        </w:tc>
        <w:tc>
          <w:tcPr>
            <w:tcW w:w="830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601DD87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¥2,000</w:t>
            </w:r>
          </w:p>
        </w:tc>
        <w:tc>
          <w:tcPr>
            <w:tcW w:w="913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63EF433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¥12,000</w:t>
            </w:r>
          </w:p>
        </w:tc>
      </w:tr>
      <w:tr>
        <w:trPr/>
        <w:tc>
          <w:tcPr>
            <w:tcW w:w="41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FDE8AFD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8</w:t>
            </w:r>
          </w:p>
        </w:tc>
        <w:tc>
          <w:tcPr>
            <w:tcW w:w="1495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FD7D26D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项目管理与质保</w:t>
            </w:r>
          </w:p>
        </w:tc>
        <w:tc>
          <w:tcPr>
            <w:tcW w:w="3906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0244AF9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项目经理统筹、上线后 3 个月质保与运维支持</w:t>
            </w:r>
          </w:p>
        </w:tc>
        <w:tc>
          <w:tcPr>
            <w:tcW w:w="747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F80A8CC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—</w:t>
            </w:r>
          </w:p>
        </w:tc>
        <w:tc>
          <w:tcPr>
            <w:tcW w:w="830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524F55F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—</w:t>
            </w:r>
          </w:p>
        </w:tc>
        <w:tc>
          <w:tcPr>
            <w:tcW w:w="913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513ADE2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color w:val="1f2a37"/>
                <w:sz w:val="19"/>
              </w:rPr>
              <w:t>¥11,000</w:t>
            </w:r>
          </w:p>
        </w:tc>
      </w:tr>
      <w:tr>
        <w:trPr/>
        <w:tc>
          <w:tcPr>
            <w:tcW w:w="7393" w:type="dxa"/>
            <w:gridSpan w:val="5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980AE9B">
            <w:pPr>
              <w:jc w:val="right"/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a37"/>
                <w:sz w:val="19"/>
              </w:rPr>
              <w:t>合计（含税，6% 增值税）</w:t>
            </w:r>
          </w:p>
        </w:tc>
        <w:tc>
          <w:tcPr>
            <w:tcW w:w="913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BA53E7E">
            <w:pPr>
              <w:jc w:val="right"/>
              <w:rPr>
                <w:color w:val="1f2a37"/>
              </w:rPr>
            </w:pPr>
            <w:r>
              <w:rPr>
                <w:rFonts w:ascii="Microsoft YaHei" w:hAnsi="Microsoft YaHei" w:eastAsia="Microsoft YaHei" w:cs="Microsoft YaHei"/>
                <w:b w:val="1"/>
                <w:color w:val="1f2a37"/>
                <w:sz w:val="19"/>
              </w:rPr>
              <w:t>¥180,000</w:t>
            </w:r>
          </w:p>
        </w:tc>
      </w:tr>
    </w:tbl>
    <w:p w14:paraId="29CF8760">
      <w:pPr>
        <w:spacing w:before="60" w:after="60" w:line="408"/>
        <w:ind w:left="60" w:right="60"/>
        <w:rPr>
          <w:color w:val="1f2a37"/>
        </w:rPr>
      </w:pPr>
      <w:r>
        <w:rPr>
          <w:rFonts w:hint="eastAsia" w:ascii="Microsoft YaHei" w:hAnsi="Microsoft YaHei" w:eastAsia="Microsoft YaHei" w:cs="Microsoft YaHei"/>
          <w:b w:val="1"/>
          <w:color w:val="1f2a37"/>
          <w:sz w:val="21"/>
        </w:rPr>
        <w:t>人民币大写：</w:t>
      </w:r>
      <w:r>
        <w:rPr>
          <w:rFonts w:hint="eastAsia" w:ascii="Microsoft YaHei" w:hAnsi="Microsoft YaHei" w:eastAsia="Microsoft YaHei" w:cs="Microsoft YaHei"/>
          <w:color w:val="1f2a37"/>
          <w:sz w:val="21"/>
        </w:rPr>
        <w:t>壹拾捌万元整。</w:t>
      </w:r>
    </w:p>
    <w:p w14:paraId="5BBE34D1">
      <w:pPr>
        <w:pStyle w:val="000003"/>
        <w:keepNext w:val="1"/>
        <w:keepLines w:val="1"/>
        <w:pBdr>
          <w:left w:val="single" w:color="2f6df0" w:sz="36" w:space="6"/>
        </w:pBdr>
        <w:spacing w:before="330" w:beforeAutospacing="1" w:after="330" w:afterAutospacing="1"/>
        <w:ind w:left="330" w:right="330"/>
        <w:outlineLvl w:val="0"/>
        <w:rPr>
          <w:color w:val="1f2a37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f2a37"/>
          <w:sz w:val="30"/>
        </w:rPr>
        <w:t>三、实施周期与阶段</w:t>
      </w:r>
    </w:p>
    <w:tbl>
      <w:tblPr>
        <w:tblW w:w="8306" w:type="dxa"/>
        <w:shd w:color="1f2a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"/>
        <w:gridCol w:w="1162"/>
        <w:gridCol w:w="6314"/>
      </w:tblGrid>
      <w:tr>
        <w:trPr>
          <w:tblHeader w:val="1"/>
        </w:trPr>
        <w:tc>
          <w:tcPr>
            <w:tcW w:w="830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shd w:val="clear" w:fill="eaf1ff"/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0DE865F">
            <w:pPr>
              <w:jc w:val="center"/>
              <w:rPr>
                <w:b w:val="1"/>
                <w:bCs w:val="1"/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a37"/>
                <w:sz w:val="19"/>
              </w:rPr>
              <w:t>阶段</w:t>
            </w:r>
          </w:p>
        </w:tc>
        <w:tc>
          <w:tcPr>
            <w:tcW w:w="1162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shd w:val="clear" w:fill="eaf1ff"/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9FD705D">
            <w:pPr>
              <w:jc w:val="center"/>
              <w:rPr>
                <w:b w:val="1"/>
                <w:bCs w:val="1"/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a37"/>
                <w:sz w:val="19"/>
              </w:rPr>
              <w:t>周期</w:t>
            </w:r>
          </w:p>
        </w:tc>
        <w:tc>
          <w:tcPr>
            <w:tcW w:w="6314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shd w:val="clear" w:fill="eaf1ff"/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1C6511CA">
            <w:pPr>
              <w:jc w:val="center"/>
              <w:rPr>
                <w:b w:val="1"/>
                <w:bCs w:val="1"/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1f2a37"/>
                <w:sz w:val="19"/>
              </w:rPr>
              <w:t>主要交付物</w:t>
            </w:r>
          </w:p>
        </w:tc>
      </w:tr>
      <w:tr>
        <w:trPr/>
        <w:tc>
          <w:tcPr>
            <w:tcW w:w="830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0ED1177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准备阶段</w:t>
            </w:r>
          </w:p>
        </w:tc>
        <w:tc>
          <w:tcPr>
            <w:tcW w:w="1162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612C52E3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约 2 个月</w:t>
            </w:r>
          </w:p>
        </w:tc>
        <w:tc>
          <w:tcPr>
            <w:tcW w:w="6314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067CD012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历史数据清洗、计费规则与合同口径梳理（法务参与）、财务技能转型培训</w:t>
            </w:r>
          </w:p>
        </w:tc>
      </w:tr>
      <w:tr>
        <w:trPr/>
        <w:tc>
          <w:tcPr>
            <w:tcW w:w="830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5BE4717F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试点阶段</w:t>
            </w:r>
          </w:p>
        </w:tc>
        <w:tc>
          <w:tcPr>
            <w:tcW w:w="1162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49B7BDFB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约 2 个月</w:t>
            </w:r>
          </w:p>
        </w:tc>
        <w:tc>
          <w:tcPr>
            <w:tcW w:w="6314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001A87F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单业务线/单区域跑通「规则配置 → 自动计费 → 自动对账 → 在线确权 → 结算同步」闭环，两家承运商并行试点</w:t>
            </w:r>
          </w:p>
        </w:tc>
      </w:tr>
      <w:tr>
        <w:trPr/>
        <w:tc>
          <w:tcPr>
            <w:tcW w:w="830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7581A98C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推广阶段</w:t>
            </w:r>
          </w:p>
        </w:tc>
        <w:tc>
          <w:tcPr>
            <w:tcW w:w="1162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7A70467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约 1–2 个月</w:t>
            </w:r>
          </w:p>
        </w:tc>
        <w:tc>
          <w:tcPr>
            <w:tcW w:w="6314" w:type="dxa"/>
            <w:tcBorders>
              <w:top w:val="single" w:color="9aa8ba" w:sz="6"/>
              <w:left w:val="single" w:color="9aa8ba" w:sz="6"/>
              <w:bottom w:val="single" w:color="9aa8ba" w:sz="6"/>
              <w:right w:val="single" w:color="9aa8ba" w:sz="6"/>
            </w:tcBorders>
            <w:tcMar>
              <w:top w:w="75" w:type="dxa"/>
              <w:left w:w="105" w:type="dxa"/>
              <w:bottom w:w="75" w:type="dxa"/>
              <w:right w:w="105" w:type="dxa"/>
            </w:tcMar>
            <w:vAlign w:val="top"/>
          </w:tcPr>
          <w:p w14:paraId="2C35CB59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19"/>
              </w:rPr>
              <w:t>复制至仓储计费、跨境计费等多场景，叠加 BI 数据驾驶舱</w:t>
            </w:r>
          </w:p>
        </w:tc>
      </w:tr>
    </w:tbl>
    <w:p w14:paraId="11806D22">
      <w:pPr>
        <w:pStyle w:val="000003"/>
        <w:keepNext w:val="1"/>
        <w:keepLines w:val="1"/>
        <w:pBdr>
          <w:left w:val="single" w:color="2f6df0" w:sz="36" w:space="6"/>
        </w:pBdr>
        <w:spacing w:before="330" w:beforeAutospacing="1" w:after="330" w:afterAutospacing="1"/>
        <w:ind w:left="330" w:right="330"/>
        <w:outlineLvl w:val="0"/>
        <w:rPr>
          <w:color w:val="1f2a37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f2a37"/>
          <w:sz w:val="30"/>
        </w:rPr>
        <w:t>四、验收标准（商务红线）</w:t>
      </w:r>
    </w:p>
    <w:p w14:paraId="0E007686">
      <w:pPr>
        <w:spacing w:before="60" w:after="60" w:line="408"/>
        <w:ind w:left="60" w:right="60"/>
        <w:rPr>
          <w:color w:val="1f2a37"/>
        </w:rPr>
      </w:pPr>
      <w:r>
        <w:rPr>
          <w:rFonts w:hint="eastAsia" w:ascii="Microsoft YaHei" w:hAnsi="Microsoft YaHei" w:eastAsia="Microsoft YaHei" w:cs="Microsoft YaHei"/>
          <w:color w:val="1f2a37"/>
          <w:sz w:val="21"/>
        </w:rPr>
        <w:t>项目验收以两条硬线为准，缺一项不予通过：</w:t>
      </w:r>
    </w:p>
    <w:p w14:paraId="17B3C537">
      <w:pPr>
        <w:spacing w:before="60" w:after="60" w:line="408"/>
        <w:ind w:left="60" w:right="60"/>
        <w:rPr>
          <w:color w:val="1f2a37"/>
        </w:rPr>
      </w:pPr>
      <w:r>
        <w:rPr>
          <w:rFonts w:ascii="Microsoft YaHei" w:hAnsi="Microsoft YaHei" w:eastAsia="Microsoft YaHei" w:cs="Microsoft YaHei"/>
          <w:color w:val="1f2a37"/>
          <w:sz w:val="21"/>
        </w:rPr>
        <w:t xml:space="preserve">1. </w:t>
      </w:r>
      <w:r>
        <w:rPr>
          <w:rFonts w:hint="eastAsia" w:ascii="Microsoft YaHei" w:hAnsi="Microsoft YaHei" w:eastAsia="Microsoft YaHei" w:cs="Microsoft YaHei"/>
          <w:b w:val="1"/>
          <w:color w:val="1f2a37"/>
          <w:sz w:val="21"/>
        </w:rPr>
        <w:t>合规底线</w:t>
      </w:r>
      <w:r>
        <w:rPr>
          <w:rFonts w:hint="eastAsia" w:ascii="Microsoft YaHei" w:hAnsi="Microsoft YaHei" w:eastAsia="Microsoft YaHei" w:cs="Microsoft YaHei"/>
          <w:color w:val="1f2a37"/>
          <w:sz w:val="21"/>
        </w:rPr>
        <w:t>：两家承运商试点范围内，计费结果可重现率 100%、未授权扣费为零；合同变更与赔付不得由模型认定，争议金额须附计算过程。</w:t>
      </w:r>
    </w:p>
    <w:p w14:paraId="665C2E78">
      <w:pPr>
        <w:spacing w:before="60" w:after="60" w:line="408"/>
        <w:ind w:left="60" w:right="60"/>
        <w:rPr>
          <w:color w:val="1f2a37"/>
        </w:rPr>
      </w:pPr>
      <w:r>
        <w:rPr>
          <w:rFonts w:ascii="Microsoft YaHei" w:hAnsi="Microsoft YaHei" w:eastAsia="Microsoft YaHei" w:cs="Microsoft YaHei"/>
          <w:color w:val="1f2a37"/>
          <w:sz w:val="21"/>
        </w:rPr>
        <w:t xml:space="preserve">2. </w:t>
      </w:r>
      <w:r>
        <w:rPr>
          <w:rFonts w:hint="eastAsia" w:ascii="Microsoft YaHei" w:hAnsi="Microsoft YaHei" w:eastAsia="Microsoft YaHei" w:cs="Microsoft YaHei"/>
          <w:b w:val="1"/>
          <w:color w:val="1f2a37"/>
          <w:sz w:val="21"/>
        </w:rPr>
        <w:t>业务价值</w:t>
      </w:r>
      <w:r>
        <w:rPr>
          <w:rFonts w:hint="eastAsia" w:ascii="Microsoft YaHei" w:hAnsi="Microsoft YaHei" w:eastAsia="Microsoft YaHei" w:cs="Microsoft YaHei"/>
          <w:color w:val="1f2a37"/>
          <w:sz w:val="21"/>
        </w:rPr>
        <w:t>：差异项由每月 1,200 个压降至 400 个、对账周期由 15 天降至 7 天，且效果可归因至试点环节。</w:t>
      </w:r>
    </w:p>
    <w:p w14:paraId="3AE426D6">
      <w:pPr>
        <w:pStyle w:val="000003"/>
        <w:keepNext w:val="1"/>
        <w:keepLines w:val="1"/>
        <w:pBdr>
          <w:left w:val="single" w:color="2f6df0" w:sz="36" w:space="6"/>
        </w:pBdr>
        <w:spacing w:before="330" w:beforeAutospacing="1" w:after="330" w:afterAutospacing="1"/>
        <w:ind w:left="330" w:right="330"/>
        <w:outlineLvl w:val="0"/>
        <w:rPr>
          <w:color w:val="1f2a37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1f2a37"/>
          <w:sz w:val="30"/>
        </w:rPr>
        <w:t>五、商务条款</w:t>
      </w:r>
    </w:p>
    <w:p w14:paraId="0224ED9F">
      <w:pPr>
        <w:spacing w:before="60" w:after="60" w:line="408"/>
        <w:ind w:left="60" w:right="60"/>
        <w:rPr>
          <w:color w:val="1f2a37"/>
        </w:rPr>
      </w:pPr>
      <w:r>
        <w:rPr>
          <w:rFonts w:hint="eastAsia" w:ascii="Microsoft YaHei" w:hAnsi="Microsoft YaHei" w:eastAsia="Microsoft YaHei" w:cs="Microsoft YaHei"/>
          <w:color w:val="1f2a37"/>
          <w:sz w:val="21"/>
        </w:rPr>
        <w:t>1. 付款方式：签约付 30%、里程碑（试点上线）付 40%、验收付 25%、质保期满付 5%。</w:t>
      </w:r>
    </w:p>
    <w:p w14:paraId="39924B2A">
      <w:pPr>
        <w:spacing w:before="60" w:after="60" w:line="408"/>
        <w:ind w:left="60" w:right="60"/>
        <w:rPr>
          <w:color w:val="1f2a37"/>
        </w:rPr>
      </w:pPr>
      <w:r>
        <w:rPr>
          <w:rFonts w:hint="eastAsia" w:ascii="Microsoft YaHei" w:hAnsi="Microsoft YaHei" w:eastAsia="Microsoft YaHei" w:cs="Microsoft YaHei"/>
          <w:color w:val="1f2a37"/>
          <w:sz w:val="21"/>
        </w:rPr>
        <w:t>2. 报价不含：第三方软硬件采购、超出约定范围的定制开发、差旅费（实报实销）。</w:t>
      </w:r>
    </w:p>
    <w:p w14:paraId="39D9A612">
      <w:pPr>
        <w:spacing w:before="60" w:after="60" w:line="408"/>
        <w:ind w:left="60" w:right="60"/>
        <w:rPr>
          <w:color w:val="1f2a37"/>
        </w:rPr>
      </w:pPr>
      <w:r>
        <w:rPr>
          <w:rFonts w:hint="eastAsia" w:ascii="Microsoft YaHei" w:hAnsi="Microsoft YaHei" w:eastAsia="Microsoft YaHei" w:cs="Microsoft YaHei"/>
          <w:color w:val="1f2a37"/>
          <w:sz w:val="21"/>
        </w:rPr>
        <w:t>3. 知识产权：交付源码与文档归甲方所有，乙方保留通用组件著作权。</w:t>
      </w:r>
    </w:p>
    <w:p w14:paraId="5C157F39">
      <w:pPr>
        <w:spacing w:before="60" w:after="60" w:line="408"/>
        <w:ind w:left="60" w:right="60"/>
        <w:rPr>
          <w:color w:val="1f2a37"/>
        </w:rPr>
      </w:pPr>
      <w:r>
        <w:rPr>
          <w:rFonts w:hint="eastAsia" w:ascii="Microsoft YaHei" w:hAnsi="Microsoft YaHei" w:eastAsia="Microsoft YaHei" w:cs="Microsoft YaHei"/>
          <w:color w:val="1f2a37"/>
          <w:sz w:val="21"/>
        </w:rPr>
        <w:t>4. 本报价基于合成场景访谈与待验证假设，正式预算切分以需求规格确认后为准。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shd w:color="1f2a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/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270" w:type="dxa"/>
              <w:left w:w="270" w:type="dxa"/>
              <w:bottom w:w="270" w:type="dxa"/>
              <w:right w:w="270" w:type="dxa"/>
            </w:tcMar>
            <w:vAlign w:val="center"/>
          </w:tcPr>
          <w:p w14:paraId="4F93C1B1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甲方（盖章）：________________</w:t>
            </w:r>
          </w:p>
        </w:tc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270" w:type="dxa"/>
              <w:left w:w="270" w:type="dxa"/>
              <w:bottom w:w="270" w:type="dxa"/>
              <w:right w:w="270" w:type="dxa"/>
            </w:tcMar>
            <w:vAlign w:val="center"/>
          </w:tcPr>
          <w:p w14:paraId="3B59D23A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乙方（盖章）：________________</w:t>
            </w:r>
          </w:p>
        </w:tc>
      </w:tr>
      <w:tr>
        <w:trPr/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270" w:type="dxa"/>
              <w:left w:w="270" w:type="dxa"/>
              <w:bottom w:w="270" w:type="dxa"/>
              <w:right w:w="270" w:type="dxa"/>
            </w:tcMar>
            <w:vAlign w:val="center"/>
          </w:tcPr>
          <w:p w14:paraId="101E42C6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代表签字：________________</w:t>
            </w:r>
          </w:p>
        </w:tc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270" w:type="dxa"/>
              <w:left w:w="270" w:type="dxa"/>
              <w:bottom w:w="270" w:type="dxa"/>
              <w:right w:w="270" w:type="dxa"/>
            </w:tcMar>
            <w:vAlign w:val="center"/>
          </w:tcPr>
          <w:p w14:paraId="4F240D63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代表签字：________________</w:t>
            </w:r>
          </w:p>
        </w:tc>
      </w:tr>
      <w:tr>
        <w:trPr/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270" w:type="dxa"/>
              <w:left w:w="270" w:type="dxa"/>
              <w:bottom w:w="270" w:type="dxa"/>
              <w:right w:w="270" w:type="dxa"/>
            </w:tcMar>
            <w:vAlign w:val="center"/>
          </w:tcPr>
          <w:p w14:paraId="5892FE0F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日期：______ 年 ___ 月 ___ 日</w:t>
            </w:r>
          </w:p>
        </w:tc>
        <w:tc>
          <w:tcPr>
            <w:tcW w:w="4153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270" w:type="dxa"/>
              <w:left w:w="270" w:type="dxa"/>
              <w:bottom w:w="270" w:type="dxa"/>
              <w:right w:w="270" w:type="dxa"/>
            </w:tcMar>
            <w:vAlign w:val="center"/>
          </w:tcPr>
          <w:p w14:paraId="54D655AB">
            <w:pPr>
              <w:rPr>
                <w:color w:val="1f2a37"/>
              </w:rPr>
            </w:pPr>
            <w:r>
              <w:rPr>
                <w:rFonts w:hint="eastAsia" w:ascii="Microsoft YaHei" w:hAnsi="Microsoft YaHei" w:eastAsia="Microsoft YaHei" w:cs="Microsoft YaHei"/>
                <w:color w:val="1f2a37"/>
                <w:sz w:val="21"/>
              </w:rPr>
              <w:t>日期：______ 年 ___ 月 ___ 日</w:t>
            </w:r>
          </w:p>
        </w:tc>
      </w:tr>
    </w:tbl>
    <w:p w14:paraId="4DA725F1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AFC00D8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3" w:uiPriority="9" w:semiHidden="1" w:unhideWhenUsed="1" w:qFormat="1"/>
    <w:lsdException w:name="Signature" w:semiHidden="1" w:unhideWhenUsed="1"/>
    <w:lsdException w:name="heading 1" w:uiPriority="9" w:qFormat="1"/>
    <w:lsdException w:name="heading 4" w:uiPriority="9" w:semiHidden="1" w:unhideWhenUsed="1" w:qFormat="1"/>
    <w:lsdException w:name="index 5" w:semiHidden="1" w:unhideWhenUsed="1"/>
    <w:lsdException w:name="macro" w:semiHidden="1" w:unhideWhenUsed="1"/>
    <w:lsdException w:name="heading 2" w:uiPriority="9" w:semiHidden="1" w:unhideWhenUsed="1" w:qFormat="1"/>
    <w:lsdException w:name="index heading" w:semiHidden="1" w:unhideWhenUsed="1"/>
    <w:lsdException w:name="toc 4" w:uiPriority="39" w:semiHidden="1" w:unhideWhenUsed="1"/>
    <w:lsdException w:name="table of figures" w:semiHidden="1" w:unhideWhenUsed="1"/>
    <w:lsdException w:name="Strong" w:uiPriority="22" w:qFormat="1"/>
    <w:lsdException w:name="Subtitle" w:uiPriority="11" w:qFormat="1"/>
    <w:lsdException w:name="toc 2" w:uiPriority="39" w:semiHidden="1" w:unhideWhenUsed="1"/>
    <w:lsdException w:name="List 3" w:semiHidden="1" w:unhideWhenUsed="1"/>
    <w:lsdException w:name="List Continue 3" w:semiHidden="1" w:unhideWhenUsed="1"/>
    <w:lsdException w:name="Closing" w:semiHidden="1" w:unhideWhenUsed="1"/>
    <w:lsdException w:name="Title" w:uiPriority="10" w:qFormat="1"/>
    <w:lsdException w:name="List 4" w:semiHidden="1" w:unhideWhenUsed="1"/>
    <w:lsdException w:name="toc 9" w:uiPriority="39" w:semiHidden="1" w:unhideWhenUsed="1"/>
    <w:lsdException w:name="List Number" w:semiHidden="1" w:unhideWhenUsed="1"/>
    <w:lsdException w:name="FollowedHyperlink" w:semiHidden="1" w:unhideWhenUsed="1"/>
    <w:lsdException w:name="List Continue 5" w:semiHidden="1" w:unhideWhenUsed="1"/>
    <w:lsdException w:name="table of authorities" w:semiHidden="1" w:unhideWhenUsed="1"/>
    <w:lsdException w:name="index 9" w:semiHidden="1" w:unhideWhenUsed="1"/>
    <w:lsdException w:name="page number" w:semiHidden="1" w:unhideWhenUsed="1"/>
    <w:lsdException w:name="line number" w:semiHidden="1" w:unhideWhenUsed="1"/>
    <w:lsdException w:name="Body Text Indent" w:semiHidden="1" w:unhideWhenUsed="1"/>
    <w:lsdException w:name="index 1" w:semiHidden="1" w:unhideWhenUsed="1"/>
    <w:lsdException w:name="Body Text 2" w:semiHidden="1" w:unhideWhenUsed="1"/>
    <w:lsdException w:name="Hyperlink" w:semiHidden="1" w:unhideWhenUsed="1"/>
    <w:lsdException w:name="index 3" w:semiHidden="1" w:unhideWhenUsed="1"/>
    <w:lsdException w:name="List" w:semiHidden="1" w:unhideWhenUsed="1"/>
    <w:lsdException w:name="index 2" w:semiHidden="1" w:unhideWhenUsed="1"/>
    <w:lsdException w:name="index 8" w:semiHidden="1" w:unhideWhenUsed="1"/>
    <w:lsdException w:name="Block Text" w:semiHidden="1" w:unhideWhenUsed="1"/>
    <w:lsdException w:name="envelope return" w:semiHidden="1" w:unhideWhenUsed="1"/>
    <w:lsdException w:name="List Number 2" w:semiHidden="1" w:unhideWhenUsed="1"/>
    <w:lsdException w:name="index 4" w:semiHidden="1" w:unhideWhenUsed="1"/>
    <w:lsdException w:name="List 5" w:semiHidden="1" w:unhideWhenUsed="1"/>
    <w:lsdException w:name="List Bullet 3" w:semiHidden="1" w:unhideWhenUsed="1"/>
    <w:lsdException w:name="index 6" w:semiHidden="1" w:unhideWhenUsed="1"/>
    <w:lsdException w:name="Date" w:semiHidden="1" w:unhideWhenUsed="1"/>
    <w:lsdException w:name="List 2" w:semiHidden="1" w:unhideWhenUsed="1"/>
    <w:lsdException w:name="Salutation" w:semiHidden="1" w:unhideWhenUsed="1"/>
    <w:lsdException w:name="Body Text" w:semiHidden="1" w:unhideWhenUsed="1"/>
    <w:lsdException w:name="List Bullet" w:semiHidden="1" w:unhideWhenUsed="1"/>
    <w:lsdException w:name="Body Text 3" w:semiHidden="1" w:unhideWhenUsed="1"/>
    <w:lsdException w:name="Body Text First Indent 2" w:semiHidden="1" w:unhideWhenUsed="1"/>
    <w:lsdException w:name="toa heading" w:semiHidden="1" w:unhideWhenUsed="1"/>
    <w:lsdException w:name="Body Text First Indent" w:semiHidden="1" w:unhideWhenUsed="1"/>
    <w:lsdException w:name="heading 7" w:uiPriority="9" w:semiHidden="1" w:unhideWhenUsed="1" w:qFormat="1"/>
    <w:lsdException w:name="footnote text" w:semiHidden="1" w:unhideWhenUsed="1"/>
    <w:lsdException w:name="heading 5" w:uiPriority="9" w:semiHidden="1" w:unhideWhenUsed="1" w:qFormat="1"/>
    <w:lsdException w:name="List Number 3" w:semiHidden="1" w:unhideWhenUsed="1"/>
    <w:lsdException w:name="Default Paragraph Font" w:uiPriority="1" w:semiHidden="1" w:unhideWhenUsed="1"/>
    <w:lsdException w:name="List Continue" w:semiHidden="1" w:unhideWhenUsed="1"/>
    <w:lsdException w:name="List Bullet 5" w:semiHidden="1" w:unhideWhenUsed="1"/>
    <w:lsdException w:name="List Number 5" w:semiHidden="1" w:unhideWhenUsed="1"/>
    <w:lsdException w:name="endnote reference" w:semiHidden="1" w:unhideWhenUsed="1"/>
    <w:lsdException w:name="annotation reference" w:semiHidden="1" w:unhideWhenUsed="1"/>
    <w:lsdException w:name="footer" w:semiHidden="1" w:unhideWhenUsed="1"/>
    <w:lsdException w:name="List Bullet 2" w:semiHidden="1" w:unhideWhenUsed="1"/>
    <w:lsdException w:name="index 7" w:semiHidden="1" w:unhideWhenUsed="1"/>
    <w:lsdException w:name="List Number 4" w:semiHidden="1" w:unhideWhenUsed="1"/>
    <w:lsdException w:name="Message Header" w:semiHidden="1" w:unhideWhenUsed="1"/>
    <w:lsdException w:name="Normal" w:uiPriority="0" w:qFormat="1"/>
    <w:lsdException w:name="List Bullet 4" w:semiHidden="1" w:unhideWhenUsed="1"/>
    <w:lsdException w:name="Normal Indent" w:semiHidden="1" w:unhideWhenUsed="1"/>
    <w:lsdException w:name="toc 3" w:uiPriority="39" w:semiHidden="1" w:unhideWhenUsed="1"/>
    <w:lsdException w:name="Note Heading" w:semiHidden="1" w:unhideWhenUsed="1"/>
    <w:lsdException w:name="endnote text" w:semiHidden="1" w:unhideWhenUsed="1"/>
    <w:lsdException w:name="Body Text Indent 3" w:semiHidden="1" w:unhideWhenUsed="1"/>
    <w:lsdException w:name="toc 7" w:uiPriority="39" w:semiHidden="1" w:unhideWhenUsed="1"/>
    <w:lsdException w:name="List Continue 2" w:semiHidden="1" w:unhideWhenUsed="1"/>
    <w:lsdException w:name="toc 1" w:uiPriority="39" w:semiHidden="1" w:unhideWhenUsed="1"/>
    <w:lsdException w:name="envelope address" w:semiHidden="1" w:unhideWhenUsed="1"/>
    <w:lsdException w:name="toc 5" w:uiPriority="39" w:semiHidden="1" w:unhideWhenUsed="1"/>
    <w:lsdException w:name="toc 8" w:uiPriority="39" w:semiHidden="1" w:unhideWhenUsed="1"/>
    <w:lsdException w:name="heading 8" w:uiPriority="9" w:semiHidden="1" w:unhideWhenUsed="1" w:qFormat="1"/>
    <w:lsdException w:name="footnote reference" w:semiHidden="1" w:unhideWhenUsed="1"/>
    <w:lsdException w:name="caption" w:uiPriority="35" w:semiHidden="1" w:unhideWhenUsed="1" w:qFormat="1"/>
    <w:lsdException w:name="List Continue 4" w:semiHidden="1" w:unhideWhenUsed="1"/>
    <w:lsdException w:name="header" w:semiHidden="1" w:unhideWhenUsed="1"/>
    <w:lsdException w:name="annotation text" w:semiHidden="1" w:unhideWhenUsed="1"/>
    <w:lsdException w:name="toc 6" w:uiPriority="39" w:semiHidden="1" w:unhideWhenUsed="1"/>
    <w:lsdException w:name="heading 6" w:uiPriority="9" w:semiHidden="1" w:unhideWhenUsed="1" w:qFormat="1"/>
    <w:lsdException w:name="heading 9" w:uiPriority="9" w:semiHidden="1" w:unhideWhenUsed="1" w:qFormat="1"/>
    <w:lsdException w:name="Body Text Indent 2" w:semiHidden="1" w:unhideWhenUsed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footer" Target="footer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2026-10-23T11:07:43Z</dcterms:created>
  <dcterms:modified xsi:type="dcterms:W3CDTF">2026-10-23T11:07:43Z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"01a166b6665b788ea7cad03e33eed4de", "ReservedCode1": "", "ContentPropagator": "00119111010856365494821B355", "PropagateID": "01a166b6665b788ea7cad03e33eed4de", "ReservedCode2": ""}}</vt:lpwstr>
  </property>
</Properties>
</file>