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5380078B">
      <w:pPr>
        <w:spacing w:after="240" w:line="408"/>
        <w:rPr>
          <w:color w:val="1a4f8b"/>
        </w:rPr>
      </w:pPr>
      <w:r>
        <w:rPr>
          <w:rFonts w:hint="eastAsia" w:ascii="黑体" w:hAnsi="黑体" w:eastAsia="黑体" w:cs="黑体"/>
          <w:b w:val="1"/>
          <w:color w:val="1a4f8b"/>
          <w:spacing w:val="24"/>
          <w:sz w:val="28"/>
        </w:rPr>
        <w:t>行业研究报告</w:t>
      </w:r>
    </w:p>
    <w:p w14:paraId="4E001E2D">
      <w:pPr>
        <w:spacing w:after="144" w:line="336"/>
        <w:rPr>
          <w:color w:val="1a4f8b"/>
        </w:rPr>
      </w:pPr>
      <w:r>
        <w:rPr>
          <w:rFonts w:hint="eastAsia" w:ascii="黑体" w:hAnsi="黑体" w:eastAsia="黑体" w:cs="黑体"/>
          <w:b w:val="1"/>
          <w:color w:val="1a4f8b"/>
          <w:sz w:val="60"/>
        </w:rPr>
        <w:t>物流行业费对账与计费争议</w:t>
      </w:r>
      <w:r>
        <w:br w:type="textWrapping"/>
      </w:r>
      <w:r>
        <w:rPr>
          <w:rFonts w:hint="eastAsia" w:ascii="黑体" w:hAnsi="黑体" w:eastAsia="黑体" w:cs="黑体"/>
          <w:b w:val="1"/>
          <w:color w:val="1a4f8b"/>
          <w:sz w:val="60"/>
        </w:rPr>
        <w:t>现状及案例研究</w:t>
      </w:r>
    </w:p>
    <w:p w14:paraId="46C935A1">
      <w:pPr>
        <w:spacing w:after="600" w:line="408"/>
        <w:rPr>
          <w:color w:val="555555"/>
        </w:rPr>
      </w:pPr>
      <w:r>
        <w:rPr>
          <w:rFonts w:ascii="宋体" w:hAnsi="宋体" w:eastAsia="宋体" w:cs="宋体"/>
          <w:color w:val="555555"/>
          <w:sz w:val="28"/>
        </w:rPr>
        <w:t>Industry Research on Freight Reconciliation &amp; Billing Disputes in Logistics</w:t>
      </w:r>
    </w:p>
    <w:p w14:paraId="74F240D6">
      <w:pPr>
        <w:spacing w:line="456"/>
        <w:rPr>
          <w:color w:val="555555"/>
        </w:rPr>
      </w:pPr>
      <w:r>
        <w:rPr>
          <w:rFonts w:hint="eastAsia" w:ascii="宋体" w:hAnsi="宋体" w:eastAsia="宋体" w:cs="宋体"/>
          <w:color w:val="555555"/>
          <w:sz w:val="20"/>
        </w:rPr>
        <w:t>编制：行业研究小组</w:t>
      </w:r>
    </w:p>
    <w:p w14:paraId="39BBEFCD">
      <w:pPr>
        <w:spacing w:line="456"/>
        <w:rPr>
          <w:color w:val="555555"/>
        </w:rPr>
      </w:pPr>
      <w:r>
        <w:rPr>
          <w:rFonts w:hint="eastAsia" w:ascii="宋体" w:hAnsi="宋体" w:eastAsia="宋体" w:cs="宋体"/>
          <w:color w:val="555555"/>
          <w:sz w:val="20"/>
        </w:rPr>
        <w:t>日期：2026 年 10 月</w:t>
      </w:r>
    </w:p>
    <w:p w14:paraId="2BE48FB1">
      <w:pPr>
        <w:spacing w:line="456"/>
        <w:rPr>
          <w:color w:val="555555"/>
        </w:rPr>
        <w:sectPr>
          <w:type w:val="nextPage"/>
          <w:pgSz w:w="11906" w:h="16838"/>
          <w:pgMar w:top="1440" w:right="1800" w:bottom="1440" w:left="1800" w:header="851" w:footer="992" w:gutter="0"/>
        </w:sectPr>
      </w:pPr>
      <w:r>
        <w:rPr>
          <w:rFonts w:hint="eastAsia" w:ascii="宋体" w:hAnsi="宋体" w:eastAsia="宋体" w:cs="宋体"/>
          <w:color w:val="555555"/>
          <w:sz w:val="20"/>
        </w:rPr>
        <w:t>版本：V1.0</w:t>
      </w:r>
    </w:p>
    <w:p w14:paraId="0600177A">
      <w:pPr>
        <w:spacing w:before="240" w:after="120"/>
      </w:pPr>
      <w:r>
        <w:rPr>
          <w:rFonts w:hint="eastAsia"/>
          <w:b w:val="1"/>
        </w:rPr>
        <w:t>目录</w:t>
      </w:r>
    </w:p>
    <w:p w14:paraId="3C7D803F">
      <w:pPr>
        <w:pStyle w:val="000003"/>
        <w:tabs>
          <w:tab w:val="right" w:leader="dot" w:pos="9072"/>
        </w:tabs>
        <w:ind w:left="0"/>
      </w:pPr>
      <w:r>
        <w:fldChar w:fldCharType="begin" w:fldLock="0" w:dirty="0"/>
      </w:r>
      <w:r>
        <w:instrText xml:space="preserve"> TOC \o "1-2" \h \z \u </w:instrText>
      </w:r>
      <w:r>
        <w:fldChar w:fldCharType="separate" w:fldLock="0" w:dirty="0"/>
      </w:r>
      <w:r>
        <w:fldChar w:fldCharType="begin" w:fldLock="0" w:dirty="0"/>
      </w:r>
      <w:r>
        <w:instrText xml:space="preserve"> HYPERLINK \l "chapter-1" </w:instrText>
      </w:r>
      <w:r>
        <w:fldChar w:fldCharType="separate" w:fldLock="0" w:dirty="0"/>
      </w:r>
      <w:r>
        <w:rPr>
          <w:rFonts w:hint="eastAsia"/>
        </w:rPr>
        <w:t>第一章 行业背景与市场规模</w:t>
      </w:r>
      <w:r>
        <w:fldChar w:fldCharType="end" w:fldLock="0" w:dirty="0"/>
      </w:r>
      <w:r>
        <w:tab/>
      </w:r>
      <w:r>
        <w:fldChar w:fldCharType="begin" w:fldLock="0" w:dirty="0"/>
      </w:r>
      <w:r>
        <w:instrText xml:space="preserve"> PAGEREF chapter-1 \h </w:instrText>
      </w:r>
      <w:r>
        <w:fldChar w:fldCharType="separate" w:fldLock="0" w:dirty="0"/>
      </w:r>
      <w:r>
        <w:t>1</w:t>
      </w:r>
      <w:r>
        <w:fldChar w:fldCharType="end" w:fldLock="0" w:dirty="0"/>
      </w:r>
    </w:p>
    <w:p w14:paraId="35A4EADB">
      <w:pPr>
        <w:pStyle w:val="000004"/>
        <w:tabs>
          <w:tab w:val="right" w:leader="dot" w:pos="9072"/>
        </w:tabs>
        <w:ind w:left="200"/>
      </w:pPr>
      <w:r>
        <w:fldChar w:fldCharType="begin" w:fldLock="0" w:dirty="0"/>
      </w:r>
      <w:r>
        <w:instrText xml:space="preserve"> HYPERLINK \l "sec-1-1" </w:instrText>
      </w:r>
      <w:r>
        <w:fldChar w:fldCharType="separate" w:fldLock="0" w:dirty="0"/>
      </w:r>
      <w:r>
        <w:rPr>
          <w:rFonts w:hint="eastAsia"/>
        </w:rPr>
        <w:t>1.1 物流业是国民经济支柱产业，费用规模巨大</w:t>
      </w:r>
      <w:r>
        <w:fldChar w:fldCharType="end" w:fldLock="0" w:dirty="0"/>
      </w:r>
      <w:r>
        <w:tab/>
      </w:r>
      <w:r>
        <w:fldChar w:fldCharType="begin" w:fldLock="0" w:dirty="0"/>
      </w:r>
      <w:r>
        <w:instrText xml:space="preserve"> PAGEREF sec-1-1 \h </w:instrText>
      </w:r>
      <w:r>
        <w:fldChar w:fldCharType="separate" w:fldLock="0" w:dirty="0"/>
      </w:r>
      <w:r>
        <w:t>1</w:t>
      </w:r>
      <w:r>
        <w:fldChar w:fldCharType="end" w:fldLock="0" w:dirty="0"/>
      </w:r>
    </w:p>
    <w:p w14:paraId="4CFBB070">
      <w:pPr>
        <w:pStyle w:val="000004"/>
        <w:tabs>
          <w:tab w:val="right" w:leader="dot" w:pos="9072"/>
        </w:tabs>
        <w:ind w:left="200"/>
      </w:pPr>
      <w:r>
        <w:fldChar w:fldCharType="begin" w:fldLock="0" w:dirty="0"/>
      </w:r>
      <w:r>
        <w:instrText xml:space="preserve"> HYPERLINK \l "sec-1-2" </w:instrText>
      </w:r>
      <w:r>
        <w:fldChar w:fldCharType="separate" w:fldLock="0" w:dirty="0"/>
      </w:r>
      <w:r>
        <w:rPr>
          <w:rFonts w:hint="eastAsia"/>
        </w:rPr>
        <w:t>1.2 多主体、多环节、多计费规则，天然易生争议</w:t>
      </w:r>
      <w:r>
        <w:fldChar w:fldCharType="end" w:fldLock="0" w:dirty="0"/>
      </w:r>
      <w:r>
        <w:tab/>
      </w:r>
      <w:r>
        <w:fldChar w:fldCharType="begin" w:fldLock="0" w:dirty="0"/>
      </w:r>
      <w:r>
        <w:instrText xml:space="preserve"> PAGEREF sec-1-2 \h </w:instrText>
      </w:r>
      <w:r>
        <w:fldChar w:fldCharType="separate" w:fldLock="0" w:dirty="0"/>
      </w:r>
      <w:r>
        <w:t>1</w:t>
      </w:r>
      <w:r>
        <w:fldChar w:fldCharType="end" w:fldLock="0" w:dirty="0"/>
      </w:r>
    </w:p>
    <w:p w14:paraId="090023C3">
      <w:pPr>
        <w:pStyle w:val="000003"/>
        <w:tabs>
          <w:tab w:val="right" w:leader="dot" w:pos="9072"/>
        </w:tabs>
        <w:ind w:left="0"/>
      </w:pPr>
      <w:r>
        <w:fldChar w:fldCharType="begin" w:fldLock="0" w:dirty="0"/>
      </w:r>
      <w:r>
        <w:instrText xml:space="preserve"> HYPERLINK \l "chapter-2" </w:instrText>
      </w:r>
      <w:r>
        <w:fldChar w:fldCharType="separate" w:fldLock="0" w:dirty="0"/>
      </w:r>
      <w:r>
        <w:rPr>
          <w:rFonts w:hint="eastAsia"/>
        </w:rPr>
        <w:t>第二章 费对账与计费争议的核心痛点</w:t>
      </w:r>
      <w:r>
        <w:fldChar w:fldCharType="end" w:fldLock="0" w:dirty="0"/>
      </w:r>
      <w:r>
        <w:tab/>
      </w:r>
      <w:r>
        <w:fldChar w:fldCharType="begin" w:fldLock="0" w:dirty="0"/>
      </w:r>
      <w:r>
        <w:instrText xml:space="preserve"> PAGEREF chapter-2 \h </w:instrText>
      </w:r>
      <w:r>
        <w:fldChar w:fldCharType="separate" w:fldLock="0" w:dirty="0"/>
      </w:r>
      <w:r>
        <w:t>1</w:t>
      </w:r>
      <w:r>
        <w:fldChar w:fldCharType="end" w:fldLock="0" w:dirty="0"/>
      </w:r>
    </w:p>
    <w:p w14:paraId="4A003F3C">
      <w:pPr>
        <w:pStyle w:val="000004"/>
        <w:tabs>
          <w:tab w:val="right" w:leader="dot" w:pos="9072"/>
        </w:tabs>
        <w:ind w:left="200"/>
      </w:pPr>
      <w:r>
        <w:fldChar w:fldCharType="begin" w:fldLock="0" w:dirty="0"/>
      </w:r>
      <w:r>
        <w:instrText xml:space="preserve"> HYPERLINK \l "sec-2-1" </w:instrText>
      </w:r>
      <w:r>
        <w:fldChar w:fldCharType="separate" w:fldLock="0" w:dirty="0"/>
      </w:r>
      <w:r>
        <w:rPr>
          <w:rFonts w:hint="eastAsia"/>
        </w:rPr>
        <w:t>2.1 争议规模：已成行业普遍难题</w:t>
      </w:r>
      <w:r>
        <w:fldChar w:fldCharType="end" w:fldLock="0" w:dirty="0"/>
      </w:r>
      <w:r>
        <w:tab/>
      </w:r>
      <w:r>
        <w:fldChar w:fldCharType="begin" w:fldLock="0" w:dirty="0"/>
      </w:r>
      <w:r>
        <w:instrText xml:space="preserve"> PAGEREF sec-2-1 \h </w:instrText>
      </w:r>
      <w:r>
        <w:fldChar w:fldCharType="separate" w:fldLock="0" w:dirty="0"/>
      </w:r>
      <w:r>
        <w:t>1</w:t>
      </w:r>
      <w:r>
        <w:fldChar w:fldCharType="end" w:fldLock="0" w:dirty="0"/>
      </w:r>
    </w:p>
    <w:p w14:paraId="2DDF1A68">
      <w:pPr>
        <w:pStyle w:val="000004"/>
        <w:tabs>
          <w:tab w:val="right" w:leader="dot" w:pos="9072"/>
        </w:tabs>
        <w:ind w:left="200"/>
      </w:pPr>
      <w:r>
        <w:fldChar w:fldCharType="begin" w:fldLock="0" w:dirty="0"/>
      </w:r>
      <w:r>
        <w:instrText xml:space="preserve"> HYPERLINK \l "sec-2-2" </w:instrText>
      </w:r>
      <w:r>
        <w:fldChar w:fldCharType="separate" w:fldLock="0" w:dirty="0"/>
      </w:r>
      <w:r>
        <w:rPr>
          <w:rFonts w:hint="eastAsia"/>
        </w:rPr>
        <w:t>2.2 中小物流企业的"糊涂账"困境</w:t>
      </w:r>
      <w:r>
        <w:fldChar w:fldCharType="end" w:fldLock="0" w:dirty="0"/>
      </w:r>
      <w:r>
        <w:tab/>
      </w:r>
      <w:r>
        <w:fldChar w:fldCharType="begin" w:fldLock="0" w:dirty="0"/>
      </w:r>
      <w:r>
        <w:instrText xml:space="preserve"> PAGEREF sec-2-2 \h </w:instrText>
      </w:r>
      <w:r>
        <w:fldChar w:fldCharType="separate" w:fldLock="0" w:dirty="0"/>
      </w:r>
      <w:r>
        <w:t>1</w:t>
      </w:r>
      <w:r>
        <w:fldChar w:fldCharType="end" w:fldLock="0" w:dirty="0"/>
      </w:r>
    </w:p>
    <w:p w14:paraId="2DE4DE8E">
      <w:pPr>
        <w:pStyle w:val="000004"/>
        <w:tabs>
          <w:tab w:val="right" w:leader="dot" w:pos="9072"/>
        </w:tabs>
        <w:ind w:left="200"/>
      </w:pPr>
      <w:r>
        <w:fldChar w:fldCharType="begin" w:fldLock="0" w:dirty="0"/>
      </w:r>
      <w:r>
        <w:instrText xml:space="preserve"> HYPERLINK \l "sec-2-3" </w:instrText>
      </w:r>
      <w:r>
        <w:fldChar w:fldCharType="separate" w:fldLock="0" w:dirty="0"/>
      </w:r>
      <w:r>
        <w:rPr>
          <w:rFonts w:hint="eastAsia"/>
        </w:rPr>
        <w:t>2.3 网络货运平台的透明度与合规争议</w:t>
      </w:r>
      <w:r>
        <w:fldChar w:fldCharType="end" w:fldLock="0" w:dirty="0"/>
      </w:r>
      <w:r>
        <w:tab/>
      </w:r>
      <w:r>
        <w:fldChar w:fldCharType="begin" w:fldLock="0" w:dirty="0"/>
      </w:r>
      <w:r>
        <w:instrText xml:space="preserve"> PAGEREF sec-2-3 \h </w:instrText>
      </w:r>
      <w:r>
        <w:fldChar w:fldCharType="separate" w:fldLock="0" w:dirty="0"/>
      </w:r>
      <w:r>
        <w:t>1</w:t>
      </w:r>
      <w:r>
        <w:fldChar w:fldCharType="end" w:fldLock="0" w:dirty="0"/>
      </w:r>
    </w:p>
    <w:p w14:paraId="32C974ED">
      <w:pPr>
        <w:pStyle w:val="000004"/>
        <w:tabs>
          <w:tab w:val="right" w:leader="dot" w:pos="9072"/>
        </w:tabs>
        <w:ind w:left="200"/>
      </w:pPr>
      <w:r>
        <w:fldChar w:fldCharType="begin" w:fldLock="0" w:dirty="0"/>
      </w:r>
      <w:r>
        <w:instrText xml:space="preserve"> HYPERLINK \l "sec-2-4" </w:instrText>
      </w:r>
      <w:r>
        <w:fldChar w:fldCharType="separate" w:fldLock="0" w:dirty="0"/>
      </w:r>
      <w:r>
        <w:rPr>
          <w:rFonts w:hint="eastAsia"/>
        </w:rPr>
        <w:t>2.4 运费结算争议的高发场景</w:t>
      </w:r>
      <w:r>
        <w:fldChar w:fldCharType="end" w:fldLock="0" w:dirty="0"/>
      </w:r>
      <w:r>
        <w:tab/>
      </w:r>
      <w:r>
        <w:fldChar w:fldCharType="begin" w:fldLock="0" w:dirty="0"/>
      </w:r>
      <w:r>
        <w:instrText xml:space="preserve"> PAGEREF sec-2-4 \h </w:instrText>
      </w:r>
      <w:r>
        <w:fldChar w:fldCharType="separate" w:fldLock="0" w:dirty="0"/>
      </w:r>
      <w:r>
        <w:t>1</w:t>
      </w:r>
      <w:r>
        <w:fldChar w:fldCharType="end" w:fldLock="0" w:dirty="0"/>
      </w:r>
    </w:p>
    <w:p w14:paraId="77DBE6A8">
      <w:pPr>
        <w:pStyle w:val="000003"/>
        <w:tabs>
          <w:tab w:val="right" w:leader="dot" w:pos="9072"/>
        </w:tabs>
        <w:ind w:left="0"/>
      </w:pPr>
      <w:r>
        <w:fldChar w:fldCharType="begin" w:fldLock="0" w:dirty="0"/>
      </w:r>
      <w:r>
        <w:instrText xml:space="preserve"> HYPERLINK \l "chapter-3" </w:instrText>
      </w:r>
      <w:r>
        <w:fldChar w:fldCharType="separate" w:fldLock="0" w:dirty="0"/>
      </w:r>
      <w:r>
        <w:rPr>
          <w:rFonts w:hint="eastAsia"/>
        </w:rPr>
        <w:t>第三章 行业现状与发展趋势</w:t>
      </w:r>
      <w:r>
        <w:fldChar w:fldCharType="end" w:fldLock="0" w:dirty="0"/>
      </w:r>
      <w:r>
        <w:tab/>
      </w:r>
      <w:r>
        <w:fldChar w:fldCharType="begin" w:fldLock="0" w:dirty="0"/>
      </w:r>
      <w:r>
        <w:instrText xml:space="preserve"> PAGEREF chapter-3 \h </w:instrText>
      </w:r>
      <w:r>
        <w:fldChar w:fldCharType="separate" w:fldLock="0" w:dirty="0"/>
      </w:r>
      <w:r>
        <w:t>1</w:t>
      </w:r>
      <w:r>
        <w:fldChar w:fldCharType="end" w:fldLock="0" w:dirty="0"/>
      </w:r>
    </w:p>
    <w:p w14:paraId="19004443">
      <w:pPr>
        <w:pStyle w:val="000004"/>
        <w:tabs>
          <w:tab w:val="right" w:leader="dot" w:pos="9072"/>
        </w:tabs>
        <w:ind w:left="200"/>
      </w:pPr>
      <w:r>
        <w:fldChar w:fldCharType="begin" w:fldLock="0" w:dirty="0"/>
      </w:r>
      <w:r>
        <w:instrText xml:space="preserve"> HYPERLINK \l "sec-3-1" </w:instrText>
      </w:r>
      <w:r>
        <w:fldChar w:fldCharType="separate" w:fldLock="0" w:dirty="0"/>
      </w:r>
      <w:r>
        <w:rPr>
          <w:rFonts w:hint="eastAsia"/>
        </w:rPr>
        <w:t>3.1 政策驱动：降本与规范并重</w:t>
      </w:r>
      <w:r>
        <w:fldChar w:fldCharType="end" w:fldLock="0" w:dirty="0"/>
      </w:r>
      <w:r>
        <w:tab/>
      </w:r>
      <w:r>
        <w:fldChar w:fldCharType="begin" w:fldLock="0" w:dirty="0"/>
      </w:r>
      <w:r>
        <w:instrText xml:space="preserve"> PAGEREF sec-3-1 \h </w:instrText>
      </w:r>
      <w:r>
        <w:fldChar w:fldCharType="separate" w:fldLock="0" w:dirty="0"/>
      </w:r>
      <w:r>
        <w:t>1</w:t>
      </w:r>
      <w:r>
        <w:fldChar w:fldCharType="end" w:fldLock="0" w:dirty="0"/>
      </w:r>
    </w:p>
    <w:p w14:paraId="18F601D1">
      <w:pPr>
        <w:pStyle w:val="000004"/>
        <w:tabs>
          <w:tab w:val="right" w:leader="dot" w:pos="9072"/>
        </w:tabs>
        <w:ind w:left="200"/>
      </w:pPr>
      <w:r>
        <w:fldChar w:fldCharType="begin" w:fldLock="0" w:dirty="0"/>
      </w:r>
      <w:r>
        <w:instrText xml:space="preserve"> HYPERLINK \l "sec-3-2" </w:instrText>
      </w:r>
      <w:r>
        <w:fldChar w:fldCharType="separate" w:fldLock="0" w:dirty="0"/>
      </w:r>
      <w:r>
        <w:rPr>
          <w:rFonts w:hint="eastAsia"/>
        </w:rPr>
        <w:t>3.2 监管与自律：保障司机与货主权益</w:t>
      </w:r>
      <w:r>
        <w:fldChar w:fldCharType="end" w:fldLock="0" w:dirty="0"/>
      </w:r>
      <w:r>
        <w:tab/>
      </w:r>
      <w:r>
        <w:fldChar w:fldCharType="begin" w:fldLock="0" w:dirty="0"/>
      </w:r>
      <w:r>
        <w:instrText xml:space="preserve"> PAGEREF sec-3-2 \h </w:instrText>
      </w:r>
      <w:r>
        <w:fldChar w:fldCharType="separate" w:fldLock="0" w:dirty="0"/>
      </w:r>
      <w:r>
        <w:t>1</w:t>
      </w:r>
      <w:r>
        <w:fldChar w:fldCharType="end" w:fldLock="0" w:dirty="0"/>
      </w:r>
    </w:p>
    <w:p w14:paraId="3AF7E9A6">
      <w:pPr>
        <w:pStyle w:val="000004"/>
        <w:tabs>
          <w:tab w:val="right" w:leader="dot" w:pos="9072"/>
        </w:tabs>
        <w:ind w:left="200"/>
      </w:pPr>
      <w:r>
        <w:fldChar w:fldCharType="begin" w:fldLock="0" w:dirty="0"/>
      </w:r>
      <w:r>
        <w:instrText xml:space="preserve"> HYPERLINK \l "sec-3-3" </w:instrText>
      </w:r>
      <w:r>
        <w:fldChar w:fldCharType="separate" w:fldLock="0" w:dirty="0"/>
      </w:r>
      <w:r>
        <w:rPr>
          <w:rFonts w:hint="eastAsia"/>
        </w:rPr>
        <w:t>3.3 技术趋势：从"人算"到"系统算"</w:t>
      </w:r>
      <w:r>
        <w:fldChar w:fldCharType="end" w:fldLock="0" w:dirty="0"/>
      </w:r>
      <w:r>
        <w:tab/>
      </w:r>
      <w:r>
        <w:fldChar w:fldCharType="begin" w:fldLock="0" w:dirty="0"/>
      </w:r>
      <w:r>
        <w:instrText xml:space="preserve"> PAGEREF sec-3-3 \h </w:instrText>
      </w:r>
      <w:r>
        <w:fldChar w:fldCharType="separate" w:fldLock="0" w:dirty="0"/>
      </w:r>
      <w:r>
        <w:t>1</w:t>
      </w:r>
      <w:r>
        <w:fldChar w:fldCharType="end" w:fldLock="0" w:dirty="0"/>
      </w:r>
    </w:p>
    <w:p w14:paraId="6601DD87">
      <w:pPr>
        <w:pStyle w:val="000003"/>
        <w:tabs>
          <w:tab w:val="right" w:leader="dot" w:pos="9072"/>
        </w:tabs>
        <w:ind w:left="0"/>
      </w:pPr>
      <w:r>
        <w:fldChar w:fldCharType="begin" w:fldLock="0" w:dirty="0"/>
      </w:r>
      <w:r>
        <w:instrText xml:space="preserve"> HYPERLINK \l "chapter-4" </w:instrText>
      </w:r>
      <w:r>
        <w:fldChar w:fldCharType="separate" w:fldLock="0" w:dirty="0"/>
      </w:r>
      <w:r>
        <w:rPr>
          <w:rFonts w:hint="eastAsia"/>
        </w:rPr>
        <w:t>第四章 典型案例</w:t>
      </w:r>
      <w:r>
        <w:fldChar w:fldCharType="end" w:fldLock="0" w:dirty="0"/>
      </w:r>
      <w:r>
        <w:tab/>
      </w:r>
      <w:r>
        <w:fldChar w:fldCharType="begin" w:fldLock="0" w:dirty="0"/>
      </w:r>
      <w:r>
        <w:instrText xml:space="preserve"> PAGEREF chapter-4 \h </w:instrText>
      </w:r>
      <w:r>
        <w:fldChar w:fldCharType="separate" w:fldLock="0" w:dirty="0"/>
      </w:r>
      <w:r>
        <w:t>1</w:t>
      </w:r>
      <w:r>
        <w:fldChar w:fldCharType="end" w:fldLock="0" w:dirty="0"/>
      </w:r>
    </w:p>
    <w:p w14:paraId="227CC832">
      <w:pPr>
        <w:pStyle w:val="000004"/>
        <w:tabs>
          <w:tab w:val="right" w:leader="dot" w:pos="9072"/>
        </w:tabs>
        <w:ind w:left="200"/>
      </w:pPr>
      <w:r>
        <w:fldChar w:fldCharType="begin" w:fldLock="0" w:dirty="0"/>
      </w:r>
      <w:r>
        <w:instrText xml:space="preserve"> HYPERLINK \l "sec-4-1" </w:instrText>
      </w:r>
      <w:r>
        <w:fldChar w:fldCharType="separate" w:fldLock="0" w:dirty="0"/>
      </w:r>
      <w:r>
        <w:rPr>
          <w:rFonts w:hint="eastAsia"/>
        </w:rPr>
        <w:t>4.1 司法判例：合同条款与履约偏差类争议</w:t>
      </w:r>
      <w:r>
        <w:fldChar w:fldCharType="end" w:fldLock="0" w:dirty="0"/>
      </w:r>
      <w:r>
        <w:tab/>
      </w:r>
      <w:r>
        <w:fldChar w:fldCharType="begin" w:fldLock="0" w:dirty="0"/>
      </w:r>
      <w:r>
        <w:instrText xml:space="preserve"> PAGEREF sec-4-1 \h </w:instrText>
      </w:r>
      <w:r>
        <w:fldChar w:fldCharType="separate" w:fldLock="0" w:dirty="0"/>
      </w:r>
      <w:r>
        <w:t>1</w:t>
      </w:r>
      <w:r>
        <w:fldChar w:fldCharType="end" w:fldLock="0" w:dirty="0"/>
      </w:r>
    </w:p>
    <w:p w14:paraId="612C52E3">
      <w:pPr>
        <w:pStyle w:val="000004"/>
        <w:tabs>
          <w:tab w:val="right" w:leader="dot" w:pos="9072"/>
        </w:tabs>
        <w:ind w:left="200"/>
      </w:pPr>
      <w:r>
        <w:fldChar w:fldCharType="begin" w:fldLock="0" w:dirty="0"/>
      </w:r>
      <w:r>
        <w:instrText xml:space="preserve"> HYPERLINK \l "sec-4-2" </w:instrText>
      </w:r>
      <w:r>
        <w:fldChar w:fldCharType="separate" w:fldLock="0" w:dirty="0"/>
      </w:r>
      <w:r>
        <w:rPr>
          <w:rFonts w:hint="eastAsia"/>
        </w:rPr>
        <w:t>4.2 实务纠纷：平台与转包类争议</w:t>
      </w:r>
      <w:r>
        <w:fldChar w:fldCharType="end" w:fldLock="0" w:dirty="0"/>
      </w:r>
      <w:r>
        <w:tab/>
      </w:r>
      <w:r>
        <w:fldChar w:fldCharType="begin" w:fldLock="0" w:dirty="0"/>
      </w:r>
      <w:r>
        <w:instrText xml:space="preserve"> PAGEREF sec-4-2 \h </w:instrText>
      </w:r>
      <w:r>
        <w:fldChar w:fldCharType="separate" w:fldLock="0" w:dirty="0"/>
      </w:r>
      <w:r>
        <w:t>1</w:t>
      </w:r>
      <w:r>
        <w:fldChar w:fldCharType="end" w:fldLock="0" w:dirty="0"/>
      </w:r>
    </w:p>
    <w:p w14:paraId="505C76C5">
      <w:pPr>
        <w:pStyle w:val="000004"/>
        <w:tabs>
          <w:tab w:val="right" w:leader="dot" w:pos="9072"/>
        </w:tabs>
        <w:ind w:left="200"/>
      </w:pPr>
      <w:r>
        <w:fldChar w:fldCharType="begin" w:fldLock="0" w:dirty="0"/>
      </w:r>
      <w:r>
        <w:instrText xml:space="preserve"> HYPERLINK \l "sec-4-3" </w:instrText>
      </w:r>
      <w:r>
        <w:fldChar w:fldCharType="separate" w:fldLock="0" w:dirty="0"/>
      </w:r>
      <w:r>
        <w:rPr>
          <w:rFonts w:hint="eastAsia"/>
        </w:rPr>
        <w:t>4.3 案例共性启示</w:t>
      </w:r>
      <w:r>
        <w:fldChar w:fldCharType="end" w:fldLock="0" w:dirty="0"/>
      </w:r>
      <w:r>
        <w:tab/>
      </w:r>
      <w:r>
        <w:fldChar w:fldCharType="begin" w:fldLock="0" w:dirty="0"/>
      </w:r>
      <w:r>
        <w:instrText xml:space="preserve"> PAGEREF sec-4-3 \h </w:instrText>
      </w:r>
      <w:r>
        <w:fldChar w:fldCharType="separate" w:fldLock="0" w:dirty="0"/>
      </w:r>
      <w:r>
        <w:t>1</w:t>
      </w:r>
      <w:r>
        <w:fldChar w:fldCharType="end" w:fldLock="0" w:dirty="0"/>
      </w:r>
    </w:p>
    <w:p w14:paraId="2EEE6351">
      <w:pPr>
        <w:pStyle w:val="000003"/>
        <w:tabs>
          <w:tab w:val="right" w:leader="dot" w:pos="9072"/>
        </w:tabs>
        <w:ind w:left="0"/>
      </w:pPr>
      <w:r>
        <w:fldChar w:fldCharType="begin" w:fldLock="0" w:dirty="0"/>
      </w:r>
      <w:r>
        <w:instrText xml:space="preserve"> HYPERLINK \l "chapter-5" </w:instrText>
      </w:r>
      <w:r>
        <w:fldChar w:fldCharType="separate" w:fldLock="0" w:dirty="0"/>
      </w:r>
      <w:r>
        <w:rPr>
          <w:rFonts w:hint="eastAsia"/>
        </w:rPr>
        <w:t>第五章 数字化对账解决方案与标杆实践</w:t>
      </w:r>
      <w:r>
        <w:fldChar w:fldCharType="end" w:fldLock="0" w:dirty="0"/>
      </w:r>
      <w:r>
        <w:tab/>
      </w:r>
      <w:r>
        <w:fldChar w:fldCharType="begin" w:fldLock="0" w:dirty="0"/>
      </w:r>
      <w:r>
        <w:instrText xml:space="preserve"> PAGEREF chapter-5 \h </w:instrText>
      </w:r>
      <w:r>
        <w:fldChar w:fldCharType="separate" w:fldLock="0" w:dirty="0"/>
      </w:r>
      <w:r>
        <w:t>1</w:t>
      </w:r>
      <w:r>
        <w:fldChar w:fldCharType="end" w:fldLock="0" w:dirty="0"/>
      </w:r>
    </w:p>
    <w:p w14:paraId="37009069">
      <w:pPr>
        <w:pStyle w:val="000004"/>
        <w:tabs>
          <w:tab w:val="right" w:leader="dot" w:pos="9072"/>
        </w:tabs>
        <w:ind w:left="200"/>
      </w:pPr>
      <w:r>
        <w:fldChar w:fldCharType="begin" w:fldLock="0" w:dirty="0"/>
      </w:r>
      <w:r>
        <w:instrText xml:space="preserve"> HYPERLINK \l "sec-5-1" </w:instrText>
      </w:r>
      <w:r>
        <w:fldChar w:fldCharType="separate" w:fldLock="0" w:dirty="0"/>
      </w:r>
      <w:r>
        <w:rPr>
          <w:rFonts w:hint="eastAsia"/>
        </w:rPr>
        <w:t>5.1 头部企业的降本增效实践</w:t>
      </w:r>
      <w:r>
        <w:fldChar w:fldCharType="end" w:fldLock="0" w:dirty="0"/>
      </w:r>
      <w:r>
        <w:tab/>
      </w:r>
      <w:r>
        <w:fldChar w:fldCharType="begin" w:fldLock="0" w:dirty="0"/>
      </w:r>
      <w:r>
        <w:instrText xml:space="preserve"> PAGEREF sec-5-1 \h </w:instrText>
      </w:r>
      <w:r>
        <w:fldChar w:fldCharType="separate" w:fldLock="0" w:dirty="0"/>
      </w:r>
      <w:r>
        <w:t>1</w:t>
      </w:r>
      <w:r>
        <w:fldChar w:fldCharType="end" w:fldLock="0" w:dirty="0"/>
      </w:r>
    </w:p>
    <w:p w14:paraId="7D6AFB0D">
      <w:pPr>
        <w:pStyle w:val="000004"/>
        <w:tabs>
          <w:tab w:val="right" w:leader="dot" w:pos="9072"/>
        </w:tabs>
        <w:ind w:left="200"/>
      </w:pPr>
      <w:r>
        <w:fldChar w:fldCharType="begin" w:fldLock="0" w:dirty="0"/>
      </w:r>
      <w:r>
        <w:instrText xml:space="preserve"> HYPERLINK \l "sec-5-2" </w:instrText>
      </w:r>
      <w:r>
        <w:fldChar w:fldCharType="separate" w:fldLock="0" w:dirty="0"/>
      </w:r>
      <w:r>
        <w:rPr>
          <w:rFonts w:hint="eastAsia"/>
        </w:rPr>
        <w:t>5.2 系统能力的共性特征</w:t>
      </w:r>
      <w:r>
        <w:fldChar w:fldCharType="end" w:fldLock="0" w:dirty="0"/>
      </w:r>
      <w:r>
        <w:tab/>
      </w:r>
      <w:r>
        <w:fldChar w:fldCharType="begin" w:fldLock="0" w:dirty="0"/>
      </w:r>
      <w:r>
        <w:instrText xml:space="preserve"> PAGEREF sec-5-2 \h </w:instrText>
      </w:r>
      <w:r>
        <w:fldChar w:fldCharType="separate" w:fldLock="0" w:dirty="0"/>
      </w:r>
      <w:r>
        <w:t>1</w:t>
      </w:r>
      <w:r>
        <w:fldChar w:fldCharType="end" w:fldLock="0" w:dirty="0"/>
      </w:r>
    </w:p>
    <w:p w14:paraId="73CA7F8B">
      <w:pPr>
        <w:pStyle w:val="000003"/>
        <w:tabs>
          <w:tab w:val="right" w:leader="dot" w:pos="9072"/>
        </w:tabs>
        <w:ind w:left="0"/>
      </w:pPr>
      <w:r>
        <w:fldChar w:fldCharType="begin" w:fldLock="0" w:dirty="0"/>
      </w:r>
      <w:r>
        <w:instrText xml:space="preserve"> HYPERLINK \l "chapter-6" </w:instrText>
      </w:r>
      <w:r>
        <w:fldChar w:fldCharType="separate" w:fldLock="0" w:dirty="0"/>
      </w:r>
      <w:r>
        <w:rPr>
          <w:rFonts w:hint="eastAsia"/>
        </w:rPr>
        <w:t>第六章 对"费对账与计费争议"项目的启示与建议</w:t>
      </w:r>
      <w:r>
        <w:fldChar w:fldCharType="end" w:fldLock="0" w:dirty="0"/>
      </w:r>
      <w:r>
        <w:tab/>
      </w:r>
      <w:r>
        <w:fldChar w:fldCharType="begin" w:fldLock="0" w:dirty="0"/>
      </w:r>
      <w:r>
        <w:instrText xml:space="preserve"> PAGEREF chapter-6 \h </w:instrText>
      </w:r>
      <w:r>
        <w:fldChar w:fldCharType="separate" w:fldLock="0" w:dirty="0"/>
      </w:r>
      <w:r>
        <w:t>1</w:t>
      </w:r>
      <w:r>
        <w:fldChar w:fldCharType="end" w:fldLock="0" w:dirty="0"/>
      </w:r>
    </w:p>
    <w:p w14:paraId="374AEB60">
      <w:pPr>
        <w:pStyle w:val="000004"/>
        <w:tabs>
          <w:tab w:val="right" w:leader="dot" w:pos="9072"/>
        </w:tabs>
        <w:ind w:left="200"/>
      </w:pPr>
      <w:r>
        <w:fldChar w:fldCharType="begin" w:fldLock="0" w:dirty="0"/>
      </w:r>
      <w:r>
        <w:instrText xml:space="preserve"> HYPERLINK \l "sec-6-1" </w:instrText>
      </w:r>
      <w:r>
        <w:fldChar w:fldCharType="separate" w:fldLock="0" w:dirty="0"/>
      </w:r>
      <w:r>
        <w:rPr>
          <w:rFonts w:hint="eastAsia"/>
        </w:rPr>
        <w:t>6.1 以"标准化计费规则"为底座</w:t>
      </w:r>
      <w:r>
        <w:fldChar w:fldCharType="end" w:fldLock="0" w:dirty="0"/>
      </w:r>
      <w:r>
        <w:tab/>
      </w:r>
      <w:r>
        <w:fldChar w:fldCharType="begin" w:fldLock="0" w:dirty="0"/>
      </w:r>
      <w:r>
        <w:instrText xml:space="preserve"> PAGEREF sec-6-1 \h </w:instrText>
      </w:r>
      <w:r>
        <w:fldChar w:fldCharType="separate" w:fldLock="0" w:dirty="0"/>
      </w:r>
      <w:r>
        <w:t>1</w:t>
      </w:r>
      <w:r>
        <w:fldChar w:fldCharType="end" w:fldLock="0" w:dirty="0"/>
      </w:r>
    </w:p>
    <w:p w14:paraId="36C9A6D6">
      <w:pPr>
        <w:pStyle w:val="000004"/>
        <w:tabs>
          <w:tab w:val="right" w:leader="dot" w:pos="9072"/>
        </w:tabs>
        <w:ind w:left="200"/>
      </w:pPr>
      <w:r>
        <w:fldChar w:fldCharType="begin" w:fldLock="0" w:dirty="0"/>
      </w:r>
      <w:r>
        <w:instrText xml:space="preserve"> HYPERLINK \l "sec-6-2" </w:instrText>
      </w:r>
      <w:r>
        <w:fldChar w:fldCharType="separate" w:fldLock="0" w:dirty="0"/>
      </w:r>
      <w:r>
        <w:rPr>
          <w:rFonts w:hint="eastAsia"/>
        </w:rPr>
        <w:t>6.2 以"数据透明与全程留痕"破争议</w:t>
      </w:r>
      <w:r>
        <w:fldChar w:fldCharType="end" w:fldLock="0" w:dirty="0"/>
      </w:r>
      <w:r>
        <w:tab/>
      </w:r>
      <w:r>
        <w:fldChar w:fldCharType="begin" w:fldLock="0" w:dirty="0"/>
      </w:r>
      <w:r>
        <w:instrText xml:space="preserve"> PAGEREF sec-6-2 \h </w:instrText>
      </w:r>
      <w:r>
        <w:fldChar w:fldCharType="separate" w:fldLock="0" w:dirty="0"/>
      </w:r>
      <w:r>
        <w:t>1</w:t>
      </w:r>
      <w:r>
        <w:fldChar w:fldCharType="end" w:fldLock="0" w:dirty="0"/>
      </w:r>
    </w:p>
    <w:p w14:paraId="36276244">
      <w:pPr>
        <w:pStyle w:val="000004"/>
        <w:tabs>
          <w:tab w:val="right" w:leader="dot" w:pos="9072"/>
        </w:tabs>
        <w:ind w:left="200"/>
      </w:pPr>
      <w:r>
        <w:fldChar w:fldCharType="begin" w:fldLock="0" w:dirty="0"/>
      </w:r>
      <w:r>
        <w:instrText xml:space="preserve"> HYPERLINK \l "sec-6-3" </w:instrText>
      </w:r>
      <w:r>
        <w:fldChar w:fldCharType="separate" w:fldLock="0" w:dirty="0"/>
      </w:r>
      <w:r>
        <w:rPr>
          <w:rFonts w:hint="eastAsia"/>
        </w:rPr>
        <w:t>6.3 以"自动对账与异常预警"提效率</w:t>
      </w:r>
      <w:r>
        <w:fldChar w:fldCharType="end" w:fldLock="0" w:dirty="0"/>
      </w:r>
      <w:r>
        <w:tab/>
      </w:r>
      <w:r>
        <w:fldChar w:fldCharType="begin" w:fldLock="0" w:dirty="0"/>
      </w:r>
      <w:r>
        <w:instrText xml:space="preserve"> PAGEREF sec-6-3 \h </w:instrText>
      </w:r>
      <w:r>
        <w:fldChar w:fldCharType="separate" w:fldLock="0" w:dirty="0"/>
      </w:r>
      <w:r>
        <w:t>1</w:t>
      </w:r>
      <w:r>
        <w:fldChar w:fldCharType="end" w:fldLock="0" w:dirty="0"/>
      </w:r>
    </w:p>
    <w:p w14:paraId="369F3E5B">
      <w:pPr>
        <w:pStyle w:val="000004"/>
        <w:tabs>
          <w:tab w:val="right" w:leader="dot" w:pos="9072"/>
        </w:tabs>
        <w:ind w:left="200"/>
      </w:pPr>
      <w:r>
        <w:fldChar w:fldCharType="begin" w:fldLock="0" w:dirty="0"/>
      </w:r>
      <w:r>
        <w:instrText xml:space="preserve"> HYPERLINK \l "sec-6-4" </w:instrText>
      </w:r>
      <w:r>
        <w:fldChar w:fldCharType="separate" w:fldLock="0" w:dirty="0"/>
      </w:r>
      <w:r>
        <w:rPr>
          <w:rFonts w:hint="eastAsia"/>
        </w:rPr>
        <w:t>6.4 以"可视化争议处理机制"降摩擦</w:t>
      </w:r>
      <w:r>
        <w:fldChar w:fldCharType="end" w:fldLock="0" w:dirty="0"/>
      </w:r>
      <w:r>
        <w:tab/>
      </w:r>
      <w:r>
        <w:fldChar w:fldCharType="begin" w:fldLock="0" w:dirty="0"/>
      </w:r>
      <w:r>
        <w:instrText xml:space="preserve"> PAGEREF sec-6-4 \h </w:instrText>
      </w:r>
      <w:r>
        <w:fldChar w:fldCharType="separate" w:fldLock="0" w:dirty="0"/>
      </w:r>
      <w:r>
        <w:t>1</w:t>
      </w:r>
      <w:r>
        <w:fldChar w:fldCharType="end" w:fldLock="0" w:dirty="0"/>
      </w:r>
    </w:p>
    <w:p w14:paraId="3C6559B3">
      <w:pPr>
        <w:pStyle w:val="000004"/>
        <w:tabs>
          <w:tab w:val="right" w:leader="dot" w:pos="9072"/>
        </w:tabs>
        <w:ind w:left="200"/>
      </w:pPr>
      <w:r>
        <w:fldChar w:fldCharType="begin" w:fldLock="0" w:dirty="0"/>
      </w:r>
      <w:r>
        <w:instrText xml:space="preserve"> HYPERLINK \l "sec-6-5" </w:instrText>
      </w:r>
      <w:r>
        <w:fldChar w:fldCharType="separate" w:fldLock="0" w:dirty="0"/>
      </w:r>
      <w:r>
        <w:rPr>
          <w:rFonts w:hint="eastAsia"/>
        </w:rPr>
        <w:t>6.5 以"合规与风控"守底线</w:t>
      </w:r>
      <w:r>
        <w:fldChar w:fldCharType="end" w:fldLock="0" w:dirty="0"/>
      </w:r>
      <w:r>
        <w:tab/>
      </w:r>
      <w:r>
        <w:fldChar w:fldCharType="begin" w:fldLock="0" w:dirty="0"/>
      </w:r>
      <w:r>
        <w:instrText xml:space="preserve"> PAGEREF sec-6-5 \h </w:instrText>
      </w:r>
      <w:r>
        <w:fldChar w:fldCharType="separate" w:fldLock="0" w:dirty="0"/>
      </w:r>
      <w:r>
        <w:t>1</w:t>
      </w:r>
      <w:r>
        <w:fldChar w:fldCharType="end" w:fldLock="0" w:dirty="0"/>
      </w:r>
    </w:p>
    <w:p w14:paraId="07FBC03A">
      <w:pPr>
        <w:pStyle w:val="000004"/>
        <w:tabs>
          <w:tab w:val="right" w:leader="dot" w:pos="9072"/>
        </w:tabs>
        <w:ind w:left="200"/>
      </w:pPr>
      <w:r>
        <w:fldChar w:fldCharType="begin" w:fldLock="0" w:dirty="0"/>
      </w:r>
      <w:r>
        <w:instrText xml:space="preserve"> HYPERLINK \l "sec-6-6" </w:instrText>
      </w:r>
      <w:r>
        <w:fldChar w:fldCharType="separate" w:fldLock="0" w:dirty="0"/>
      </w:r>
      <w:r>
        <w:rPr>
          <w:rFonts w:hint="eastAsia"/>
        </w:rPr>
        <w:t>6.6 分阶段落地路径建议</w:t>
      </w:r>
      <w:r>
        <w:fldChar w:fldCharType="end" w:fldLock="0" w:dirty="0"/>
      </w:r>
      <w:r>
        <w:tab/>
      </w:r>
      <w:r>
        <w:fldChar w:fldCharType="begin" w:fldLock="0" w:dirty="0"/>
      </w:r>
      <w:r>
        <w:instrText xml:space="preserve"> PAGEREF sec-6-6 \h </w:instrText>
      </w:r>
      <w:r>
        <w:fldChar w:fldCharType="separate" w:fldLock="0" w:dirty="0"/>
      </w:r>
      <w:r>
        <w:t>1</w:t>
      </w:r>
      <w:r>
        <w:fldChar w:fldCharType="end" w:fldLock="0" w:dirty="0"/>
      </w:r>
    </w:p>
    <w:p w14:paraId="76364556">
      <w:pPr>
        <w:pStyle w:val="000003"/>
        <w:tabs>
          <w:tab w:val="right" w:leader="dot" w:pos="9072"/>
        </w:tabs>
        <w:ind w:left="0"/>
      </w:pPr>
      <w:r>
        <w:fldChar w:fldCharType="begin" w:fldLock="0" w:dirty="0"/>
      </w:r>
      <w:r>
        <w:instrText xml:space="preserve"> HYPERLINK \l "chapter-7" </w:instrText>
      </w:r>
      <w:r>
        <w:fldChar w:fldCharType="separate" w:fldLock="0" w:dirty="0"/>
      </w:r>
      <w:r>
        <w:rPr>
          <w:rFonts w:hint="eastAsia"/>
        </w:rPr>
        <w:t>第七章 结论</w:t>
      </w:r>
      <w:r>
        <w:fldChar w:fldCharType="end" w:fldLock="0" w:dirty="0"/>
      </w:r>
      <w:r>
        <w:tab/>
      </w:r>
      <w:r>
        <w:fldChar w:fldCharType="begin" w:fldLock="0" w:dirty="0"/>
      </w:r>
      <w:r>
        <w:instrText xml:space="preserve"> PAGEREF chapter-7 \h </w:instrText>
      </w:r>
      <w:r>
        <w:fldChar w:fldCharType="separate" w:fldLock="0" w:dirty="0"/>
      </w:r>
      <w:r>
        <w:t>1</w:t>
      </w:r>
      <w:r>
        <w:fldChar w:fldCharType="end" w:fldLock="0" w:dirty="0"/>
      </w:r>
    </w:p>
    <w:p w14:paraId="5E67C844">
      <w:pPr>
        <w:pStyle w:val="000003"/>
        <w:tabs>
          <w:tab w:val="right" w:leader="dot" w:pos="9072"/>
        </w:tabs>
        <w:ind w:left="0"/>
      </w:pPr>
      <w:r>
        <w:fldChar w:fldCharType="begin" w:fldLock="0" w:dirty="0"/>
      </w:r>
      <w:r>
        <w:instrText xml:space="preserve"> HYPERLINK \l "chapter-8" </w:instrText>
      </w:r>
      <w:r>
        <w:fldChar w:fldCharType="separate" w:fldLock="0" w:dirty="0"/>
      </w:r>
      <w:r>
        <w:rPr>
          <w:rFonts w:hint="eastAsia"/>
        </w:rPr>
        <w:t>参考文献与数据来源</w:t>
      </w:r>
      <w:r>
        <w:fldChar w:fldCharType="end" w:fldLock="0" w:dirty="0"/>
      </w:r>
      <w:r>
        <w:tab/>
      </w:r>
      <w:r>
        <w:fldChar w:fldCharType="begin" w:fldLock="0" w:dirty="0"/>
      </w:r>
      <w:r>
        <w:instrText xml:space="preserve"> PAGEREF chapter-8 \h </w:instrText>
      </w:r>
      <w:r>
        <w:fldChar w:fldCharType="separate" w:fldLock="0" w:dirty="0"/>
      </w:r>
      <w:r>
        <w:t>1</w:t>
      </w:r>
      <w:r>
        <w:fldChar w:fldCharType="end" w:fldLock="0" w:dirty="0"/>
      </w:r>
      <w:r>
        <w:fldChar w:fldCharType="end" w:fldLock="0" w:dirty="0"/>
      </w:r>
    </w:p>
    <w:p w14:paraId="0765397F">
      <w:pPr>
        <w:pStyle w:val="000005"/>
        <w:keepNext w:val="1"/>
        <w:keepLines w:val="1"/>
        <w:pBdr>
          <w:bottom w:val="single" w:color="1a4f8b" w:sz="12" w:space="3"/>
        </w:pBdr>
        <w:spacing w:before="384" w:beforeAutospacing="1" w:after="168" w:afterAutospacing="1" w:line="408"/>
        <w:outlineLvl w:val="0"/>
        <w:rPr>
          <w:color w:val="1a4f8b"/>
          <w:kern w:val="44"/>
          <w:sz w:val="44"/>
          <w:szCs w:val="44"/>
        </w:rPr>
      </w:pPr>
      <w:bookmarkStart w:id="1" w:name="chapter-1"/>
      <w:r>
        <w:rPr>
          <w:rFonts w:hint="eastAsia" w:ascii="黑体" w:hAnsi="黑体" w:eastAsia="黑体" w:cs="黑体"/>
          <w:b w:val="1"/>
          <w:color w:val="1a4f8b"/>
          <w:sz w:val="36"/>
        </w:rPr>
        <w:t>第一章 行业背景与市场规模</w:t>
      </w:r>
      <w:bookmarkEnd w:id="1"/>
    </w:p>
    <w:p w14:paraId="54CB8D04">
      <w:pPr>
        <w:pBdr>
          <w:left w:val="single" w:color="1a4f8b" w:sz="24"/>
        </w:pBdr>
        <w:shd w:val="clear" w:fill="eef3fa"/>
        <w:spacing w:before="288" w:after="168" w:line="408"/>
        <w:ind w:left="288" w:right="288"/>
        <w:rPr>
          <w:color w:val="000000"/>
        </w:rPr>
      </w:pPr>
      <w:r>
        <w:rPr>
          <w:rFonts w:hint="eastAsia" w:ascii="宋体" w:hAnsi="宋体" w:eastAsia="宋体" w:cs="宋体"/>
          <w:color w:val="000000"/>
          <w:sz w:val="24"/>
        </w:rPr>
        <w:t>本章要点：物流业是国民经济支柱产业，2024 年全国社会物流总额 360.6 万亿元、总费用约 19.0 万亿元；费用精细化核算是"降低全社会物流成本"国家战略的重要抓手。多主体、多环节、多计费规则叠加，使费对账与计费争议天然高发。</w:t>
      </w:r>
    </w:p>
    <w:p w14:paraId="236C60E8">
      <w:pPr>
        <w:pStyle w:val="000006"/>
        <w:keepNext w:val="1"/>
        <w:keepLines w:val="1"/>
        <w:spacing w:before="288" w:beforeAutospacing="1" w:after="120" w:afterAutospacing="1" w:line="408"/>
        <w:outlineLvl w:val="1"/>
        <w:rPr>
          <w:color w:val="000000"/>
          <w:sz w:val="32"/>
          <w:szCs w:val="32"/>
        </w:rPr>
      </w:pPr>
      <w:bookmarkStart w:id="2" w:name="sec-1-1"/>
      <w:r>
        <w:rPr>
          <w:rFonts w:hint="eastAsia" w:ascii="黑体" w:hAnsi="黑体" w:eastAsia="黑体" w:cs="黑体"/>
          <w:b w:val="1"/>
          <w:color w:val="000000"/>
          <w:sz w:val="28"/>
        </w:rPr>
        <w:t>1.1 物流业是国民经济支柱产业，费用规模巨大</w:t>
      </w:r>
      <w:bookmarkEnd w:id="2"/>
    </w:p>
    <w:p w14:paraId="6A24FDF5">
      <w:pPr>
        <w:spacing w:after="168" w:line="408"/>
        <w:ind w:firstLine="480"/>
        <w:rPr>
          <w:color w:val="000000"/>
        </w:rPr>
      </w:pPr>
      <w:r>
        <w:rPr>
          <w:rFonts w:hint="eastAsia" w:ascii="宋体" w:hAnsi="宋体" w:eastAsia="宋体" w:cs="宋体"/>
          <w:color w:val="000000"/>
          <w:sz w:val="24"/>
        </w:rPr>
        <w:t>物流业是支撑国民经济社会发展的基础性、战略性产业。据中国物流与采购联合会与国家统计局公布的数据：</w:t>
      </w:r>
    </w:p>
    <w:tbl>
      <w:tblPr>
        <w:tblW w:w="8306" w:type="dxa"/>
        <w:shd w:color="000000"/>
        <w:tblLayout w:type="autofit"/>
        <w:tblCellMar/>
      </w:tblPr>
      <w:tblGrid>
        <w:gridCol w:w="2768"/>
        <w:gridCol w:w="2768"/>
        <w:gridCol w:w="2768"/>
      </w:tblGrid>
      <w:tr>
        <w:trPr>
          <w:tblHeader w:val="1"/>
        </w:trPr>
        <w:tc>
          <w:tcPr>
            <w:tcW w:w="2768" w:type="dxa"/>
            <w:tcBorders>
              <w:top w:val="single" w:color="bbbbbb" w:sz="6"/>
              <w:left w:val="single" w:color="bbbbbb" w:sz="6"/>
              <w:bottom w:val="single" w:color="bbbbbb" w:sz="6"/>
              <w:right w:val="single" w:color="bbbbbb" w:sz="6"/>
            </w:tcBorders>
            <w:shd w:val="clear" w:fill="eef3fa"/>
            <w:tcMar>
              <w:top w:w="120" w:type="dxa"/>
              <w:left w:w="168" w:type="dxa"/>
              <w:bottom w:w="120" w:type="dxa"/>
              <w:right w:w="168" w:type="dxa"/>
            </w:tcMar>
            <w:vAlign w:val="top"/>
          </w:tcPr>
          <w:p w14:paraId="6DC8913B">
            <w:pPr>
              <w:jc w:val="left"/>
              <w:rPr>
                <w:b w:val="1"/>
                <w:bCs w:val="1"/>
                <w:color w:val="000000"/>
              </w:rPr>
            </w:pPr>
            <w:r>
              <w:rPr>
                <w:rFonts w:hint="eastAsia" w:ascii="黑体" w:hAnsi="黑体" w:eastAsia="黑体" w:cs="黑体"/>
                <w:b w:val="1"/>
                <w:color w:val="000000"/>
                <w:sz w:val="22"/>
              </w:rPr>
              <w:t>指标</w:t>
            </w:r>
          </w:p>
        </w:tc>
        <w:tc>
          <w:tcPr>
            <w:tcW w:w="2768" w:type="dxa"/>
            <w:tcBorders>
              <w:top w:val="single" w:color="bbbbbb" w:sz="6"/>
              <w:left w:val="single" w:color="bbbbbb" w:sz="6"/>
              <w:bottom w:val="single" w:color="bbbbbb" w:sz="6"/>
              <w:right w:val="single" w:color="bbbbbb" w:sz="6"/>
            </w:tcBorders>
            <w:shd w:val="clear" w:fill="eef3fa"/>
            <w:tcMar>
              <w:top w:w="120" w:type="dxa"/>
              <w:left w:w="168" w:type="dxa"/>
              <w:bottom w:w="120" w:type="dxa"/>
              <w:right w:w="168" w:type="dxa"/>
            </w:tcMar>
            <w:vAlign w:val="top"/>
          </w:tcPr>
          <w:p w14:paraId="5FB39D3F">
            <w:pPr>
              <w:jc w:val="left"/>
              <w:rPr>
                <w:b w:val="1"/>
                <w:bCs w:val="1"/>
                <w:color w:val="000000"/>
              </w:rPr>
            </w:pPr>
            <w:r>
              <w:rPr>
                <w:rFonts w:hint="eastAsia" w:ascii="黑体" w:hAnsi="黑体" w:eastAsia="黑体" w:cs="黑体"/>
                <w:b w:val="1"/>
                <w:color w:val="000000"/>
                <w:sz w:val="22"/>
              </w:rPr>
              <w:t>2024 年</w:t>
            </w:r>
          </w:p>
        </w:tc>
        <w:tc>
          <w:tcPr>
            <w:tcW w:w="2768" w:type="dxa"/>
            <w:tcBorders>
              <w:top w:val="single" w:color="bbbbbb" w:sz="6"/>
              <w:left w:val="single" w:color="bbbbbb" w:sz="6"/>
              <w:bottom w:val="single" w:color="bbbbbb" w:sz="6"/>
              <w:right w:val="single" w:color="bbbbbb" w:sz="6"/>
            </w:tcBorders>
            <w:shd w:val="clear" w:fill="eef3fa"/>
            <w:tcMar>
              <w:top w:w="120" w:type="dxa"/>
              <w:left w:w="168" w:type="dxa"/>
              <w:bottom w:w="120" w:type="dxa"/>
              <w:right w:w="168" w:type="dxa"/>
            </w:tcMar>
            <w:vAlign w:val="top"/>
          </w:tcPr>
          <w:p w14:paraId="4E6ADF33">
            <w:pPr>
              <w:jc w:val="left"/>
              <w:rPr>
                <w:b w:val="1"/>
                <w:bCs w:val="1"/>
                <w:color w:val="000000"/>
              </w:rPr>
            </w:pPr>
            <w:r>
              <w:rPr>
                <w:rFonts w:hint="eastAsia" w:ascii="黑体" w:hAnsi="黑体" w:eastAsia="黑体" w:cs="黑体"/>
                <w:b w:val="1"/>
                <w:color w:val="000000"/>
                <w:sz w:val="22"/>
              </w:rPr>
              <w:t>2025 年</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1D81D7E6">
            <w:pPr>
              <w:jc w:val="left"/>
              <w:rPr>
                <w:color w:val="000000"/>
              </w:rPr>
            </w:pPr>
            <w:r>
              <w:rPr>
                <w:rFonts w:hint="eastAsia" w:ascii="宋体" w:hAnsi="宋体" w:eastAsia="宋体" w:cs="宋体"/>
                <w:color w:val="000000"/>
                <w:sz w:val="22"/>
              </w:rPr>
              <w:t>全国社会物流总额</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170FDEC2">
            <w:pPr>
              <w:jc w:val="left"/>
              <w:rPr>
                <w:color w:val="000000"/>
              </w:rPr>
            </w:pPr>
            <w:r>
              <w:rPr>
                <w:rFonts w:hint="eastAsia" w:ascii="宋体" w:hAnsi="宋体" w:eastAsia="宋体" w:cs="宋体"/>
                <w:color w:val="000000"/>
                <w:sz w:val="22"/>
              </w:rPr>
              <w:t>360.6 万亿元（同比 +5.8%）</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0881C562">
            <w:pPr>
              <w:jc w:val="left"/>
              <w:rPr>
                <w:color w:val="000000"/>
              </w:rPr>
            </w:pPr>
            <w:r>
              <w:rPr>
                <w:rFonts w:hint="eastAsia" w:ascii="宋体" w:hAnsi="宋体" w:eastAsia="宋体" w:cs="宋体"/>
                <w:color w:val="000000"/>
                <w:sz w:val="22"/>
              </w:rPr>
              <w:t>368.2 万亿元（同比 +5.1%）</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3E5AB2F1">
            <w:pPr>
              <w:jc w:val="left"/>
              <w:rPr>
                <w:color w:val="000000"/>
              </w:rPr>
            </w:pPr>
            <w:r>
              <w:rPr>
                <w:rFonts w:hint="eastAsia" w:ascii="宋体" w:hAnsi="宋体" w:eastAsia="宋体" w:cs="宋体"/>
                <w:color w:val="000000"/>
                <w:sz w:val="22"/>
              </w:rPr>
              <w:t>社会物流总费用</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51AC2B13">
            <w:pPr>
              <w:jc w:val="left"/>
              <w:rPr>
                <w:color w:val="000000"/>
              </w:rPr>
            </w:pPr>
            <w:r>
              <w:rPr>
                <w:rFonts w:hint="eastAsia" w:ascii="宋体" w:hAnsi="宋体" w:eastAsia="宋体" w:cs="宋体"/>
                <w:color w:val="000000"/>
                <w:sz w:val="22"/>
              </w:rPr>
              <w:t>约 19.0 万亿元（同比 +4.1%）</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68FD1835">
            <w:pPr>
              <w:jc w:val="left"/>
              <w:rPr>
                <w:color w:val="000000"/>
              </w:rPr>
            </w:pPr>
            <w:r>
              <w:rPr>
                <w:rFonts w:hint="eastAsia" w:ascii="宋体" w:hAnsi="宋体" w:eastAsia="宋体" w:cs="宋体"/>
                <w:color w:val="000000"/>
                <w:sz w:val="22"/>
              </w:rPr>
              <w:t>约 19.5 万亿元（同比 +3.0%）</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557F404D">
            <w:pPr>
              <w:jc w:val="left"/>
              <w:rPr>
                <w:color w:val="000000"/>
              </w:rPr>
            </w:pPr>
            <w:r>
              <w:rPr>
                <w:rFonts w:hint="eastAsia" w:ascii="宋体" w:hAnsi="宋体" w:eastAsia="宋体" w:cs="宋体"/>
                <w:color w:val="000000"/>
                <w:sz w:val="22"/>
              </w:rPr>
              <w:t>社会物流总费用 / GDP</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2ADA3F97">
            <w:pPr>
              <w:jc w:val="left"/>
              <w:rPr>
                <w:color w:val="000000"/>
              </w:rPr>
            </w:pPr>
            <w:r>
              <w:rPr>
                <w:rFonts w:hint="eastAsia" w:ascii="宋体" w:hAnsi="宋体" w:eastAsia="宋体" w:cs="宋体"/>
                <w:color w:val="000000"/>
                <w:sz w:val="22"/>
              </w:rPr>
              <w:t>14.1%（回落 0.3 个百分点）</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0F331C9E">
            <w:pPr>
              <w:jc w:val="left"/>
              <w:rPr>
                <w:color w:val="000000"/>
              </w:rPr>
            </w:pPr>
            <w:r>
              <w:rPr>
                <w:rFonts w:hint="eastAsia" w:ascii="宋体" w:hAnsi="宋体" w:eastAsia="宋体" w:cs="宋体"/>
                <w:color w:val="000000"/>
                <w:sz w:val="22"/>
              </w:rPr>
              <w:t>13.9%（回落 0.2 个百分点）</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1F00C428">
            <w:pPr>
              <w:jc w:val="left"/>
              <w:rPr>
                <w:color w:val="000000"/>
              </w:rPr>
            </w:pPr>
            <w:r>
              <w:rPr>
                <w:rFonts w:hint="eastAsia" w:ascii="宋体" w:hAnsi="宋体" w:eastAsia="宋体" w:cs="宋体"/>
                <w:color w:val="000000"/>
                <w:sz w:val="22"/>
              </w:rPr>
              <w:t>物流业总收入</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735E2ADE">
            <w:pPr>
              <w:jc w:val="left"/>
              <w:rPr>
                <w:color w:val="000000"/>
              </w:rPr>
            </w:pPr>
            <w:r>
              <w:rPr>
                <w:rFonts w:hint="eastAsia" w:ascii="宋体" w:hAnsi="宋体" w:eastAsia="宋体" w:cs="宋体"/>
                <w:color w:val="000000"/>
                <w:sz w:val="22"/>
              </w:rPr>
              <w:t>13.8 万亿元（同比 +4.9%）</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56369CCF">
            <w:pPr>
              <w:jc w:val="left"/>
              <w:rPr>
                <w:color w:val="000000"/>
              </w:rPr>
            </w:pPr>
            <w:r>
              <w:rPr>
                <w:rFonts w:ascii="宋体" w:hAnsi="宋体" w:eastAsia="宋体" w:cs="宋体"/>
                <w:color w:val="000000"/>
                <w:sz w:val="22"/>
              </w:rPr>
              <w:t>—</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47E7DB4B">
            <w:pPr>
              <w:jc w:val="left"/>
              <w:rPr>
                <w:color w:val="000000"/>
              </w:rPr>
            </w:pPr>
            <w:r>
              <w:rPr>
                <w:rFonts w:hint="eastAsia" w:ascii="宋体" w:hAnsi="宋体" w:eastAsia="宋体" w:cs="宋体"/>
                <w:color w:val="000000"/>
                <w:sz w:val="22"/>
              </w:rPr>
              <w:t>快递业务量</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2A48E339">
            <w:pPr>
              <w:jc w:val="left"/>
              <w:rPr>
                <w:color w:val="000000"/>
              </w:rPr>
            </w:pPr>
            <w:r>
              <w:rPr>
                <w:rFonts w:hint="eastAsia" w:ascii="宋体" w:hAnsi="宋体" w:eastAsia="宋体" w:cs="宋体"/>
                <w:color w:val="000000"/>
                <w:sz w:val="22"/>
              </w:rPr>
              <w:t>突破 1700 亿件</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5A037986">
            <w:pPr>
              <w:jc w:val="left"/>
              <w:rPr>
                <w:color w:val="000000"/>
              </w:rPr>
            </w:pPr>
            <w:r>
              <w:rPr>
                <w:rFonts w:hint="eastAsia" w:ascii="宋体" w:hAnsi="宋体" w:eastAsia="宋体" w:cs="宋体"/>
                <w:color w:val="000000"/>
                <w:sz w:val="22"/>
              </w:rPr>
              <w:t>截至 2025-10-11 已突破 1500 亿件</w:t>
            </w:r>
          </w:p>
        </w:tc>
      </w:tr>
    </w:tbl>
    <w:p w14:paraId="7513F536">
      <w:pPr>
        <w:spacing w:line="240"/>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eef3fa"/>
            <w:vAlign w:val="center"/>
          </w:tcPr>
          <w:p w14:paraId="6E1F16BA">
            <w:pPr>
              <w:rPr>
                <w:color w:val="555555"/>
              </w:rPr>
            </w:pPr>
            <w:r>
              <w:rPr>
                <w:rFonts w:hint="eastAsia" w:ascii="宋体" w:hAnsi="宋体" w:eastAsia="宋体" w:cs="宋体"/>
                <w:color w:val="555555"/>
                <w:sz w:val="20"/>
              </w:rPr>
              <w:t>数据来源：中国物流与采购联合会、中国政府网、百度百科物流量词条（公开披露口径）。</w:t>
            </w:r>
          </w:p>
        </w:tc>
      </w:tr>
    </w:tbl>
    <w:p w14:paraId="537E03B4">
      <w:pPr>
        <w:spacing w:after="168" w:line="408"/>
        <w:ind w:firstLine="480"/>
        <w:rPr>
          <w:color w:val="000000"/>
        </w:rPr>
      </w:pPr>
      <w:r>
        <w:rPr>
          <w:rFonts w:hint="eastAsia" w:ascii="宋体" w:hAnsi="宋体" w:eastAsia="宋体" w:cs="宋体"/>
          <w:color w:val="000000"/>
          <w:sz w:val="24"/>
        </w:rPr>
        <w:t>社会物流总费用与 GDP 比率（即"物流总费用率"）是衡量全社会物流效率的核心指标。2024 年 11 月，中共中央办公厅、国务院办公厅印发《有效降低全社会物流成本行动方案》，提出到 2027 年社会物流总费用与 GDP 的比率力争降至 13.5% 左右。2025 年上半年，全国已节约物流总费用超 1300 亿元。费用精细化管理（含对账与争议治理）是降本工作的重要抓手。</w:t>
      </w:r>
    </w:p>
    <w:p w14:paraId="4FFBF032">
      <w:pPr>
        <w:pStyle w:val="000006"/>
        <w:keepNext w:val="1"/>
        <w:keepLines w:val="1"/>
        <w:spacing w:before="288" w:beforeAutospacing="1" w:after="120" w:afterAutospacing="1" w:line="408"/>
        <w:outlineLvl w:val="1"/>
        <w:rPr>
          <w:color w:val="000000"/>
          <w:sz w:val="32"/>
          <w:szCs w:val="32"/>
        </w:rPr>
      </w:pPr>
      <w:bookmarkStart w:id="3" w:name="sec-1-2"/>
      <w:r>
        <w:rPr>
          <w:rFonts w:hint="eastAsia" w:ascii="黑体" w:hAnsi="黑体" w:eastAsia="黑体" w:cs="黑体"/>
          <w:b w:val="1"/>
          <w:color w:val="000000"/>
          <w:sz w:val="28"/>
        </w:rPr>
        <w:t>1.2 多主体、多环节、多计费规则，天然易生争议</w:t>
      </w:r>
      <w:bookmarkEnd w:id="3"/>
    </w:p>
    <w:p w14:paraId="43DA8629">
      <w:pPr>
        <w:spacing w:after="168" w:line="408"/>
        <w:ind w:firstLine="480"/>
        <w:rPr>
          <w:color w:val="000000"/>
        </w:rPr>
      </w:pPr>
      <w:r>
        <w:rPr>
          <w:rFonts w:hint="eastAsia" w:ascii="宋体" w:hAnsi="宋体" w:eastAsia="宋体" w:cs="宋体"/>
          <w:color w:val="000000"/>
          <w:sz w:val="24"/>
        </w:rPr>
        <w:t>一笔货物的运输往往涉及货主、货运代理、干线承运商、专线/末端配送、仓储方、网络货运平台等多方主体，并跨越揽收、干线、中转、末端、回单、结算等多个环节。不同的计费维度（重量、体积、里程、车型、时段、托盘、频次、阶梯量）与附加费（等待费、装卸费、燃油附加、夜班费、节假日费、保险/代收手续费）相互叠加，使费用结构高度复杂。一旦某一变量的口径不一致，即可引发对账争议。</w:t>
      </w:r>
    </w:p>
    <w:p w14:paraId="630135CD">
      <w:pPr>
        <w:pStyle w:val="000005"/>
        <w:keepNext w:val="1"/>
        <w:keepLines w:val="1"/>
        <w:pBdr>
          <w:bottom w:val="single" w:color="1a4f8b" w:sz="12" w:space="3"/>
        </w:pBdr>
        <w:spacing w:before="384" w:beforeAutospacing="1" w:after="168" w:afterAutospacing="1" w:line="408"/>
        <w:outlineLvl w:val="0"/>
        <w:rPr>
          <w:color w:val="1a4f8b"/>
          <w:kern w:val="44"/>
          <w:sz w:val="44"/>
          <w:szCs w:val="44"/>
        </w:rPr>
      </w:pPr>
      <w:bookmarkStart w:id="4" w:name="chapter-2"/>
      <w:r>
        <w:rPr>
          <w:rFonts w:hint="eastAsia" w:ascii="黑体" w:hAnsi="黑体" w:eastAsia="黑体" w:cs="黑体"/>
          <w:b w:val="1"/>
          <w:color w:val="1a4f8b"/>
          <w:sz w:val="36"/>
        </w:rPr>
        <w:t>第二章 费对账与计费争议的核心痛点</w:t>
      </w:r>
      <w:bookmarkEnd w:id="4"/>
    </w:p>
    <w:p w14:paraId="033C64E2">
      <w:pPr>
        <w:pStyle w:val="000006"/>
        <w:keepNext w:val="1"/>
        <w:keepLines w:val="1"/>
        <w:spacing w:before="288" w:beforeAutospacing="1" w:after="120" w:afterAutospacing="1" w:line="408"/>
        <w:outlineLvl w:val="1"/>
        <w:rPr>
          <w:color w:val="000000"/>
          <w:sz w:val="32"/>
          <w:szCs w:val="32"/>
        </w:rPr>
      </w:pPr>
      <w:bookmarkStart w:id="5" w:name="sec-2-1"/>
      <w:r>
        <w:rPr>
          <w:rFonts w:hint="eastAsia" w:ascii="黑体" w:hAnsi="黑体" w:eastAsia="黑体" w:cs="黑体"/>
          <w:b w:val="1"/>
          <w:color w:val="000000"/>
          <w:sz w:val="28"/>
        </w:rPr>
        <w:t>2.1 争议规模：已成行业普遍难题</w:t>
      </w:r>
      <w:bookmarkEnd w:id="5"/>
    </w:p>
    <w:p w14:paraId="3CCA6B01">
      <w:pPr>
        <w:spacing w:after="168" w:line="408"/>
        <w:ind w:firstLine="480"/>
        <w:rPr>
          <w:color w:val="000000"/>
        </w:rPr>
      </w:pPr>
      <w:r>
        <w:rPr>
          <w:rFonts w:hint="eastAsia" w:ascii="宋体" w:hAnsi="宋体" w:eastAsia="宋体" w:cs="宋体"/>
          <w:color w:val="000000"/>
          <w:sz w:val="24"/>
        </w:rPr>
        <w:t>公开调研数据揭示了费对账与计费争议的普遍性：</w:t>
      </w:r>
    </w:p>
    <w:p w14:paraId="09D9EE0A">
      <w:pPr>
        <w:numPr>
          <w:ilvl w:val="0"/>
          <w:numId w:val="1"/>
        </w:numPr>
        <w:spacing w:before="96" w:after="84" w:line="408"/>
        <w:ind w:left="96" w:right="96"/>
        <w:rPr>
          <w:color w:val="000000"/>
        </w:rPr>
      </w:pPr>
      <w:r>
        <w:rPr>
          <w:rFonts w:hint="eastAsia" w:ascii="宋体" w:hAnsi="宋体" w:eastAsia="宋体" w:cs="宋体"/>
          <w:color w:val="000000"/>
          <w:sz w:val="24"/>
        </w:rPr>
        <w:t xml:space="preserve">交通运输部 2025 年数据显示，运输费用结算纠纷占物流合同纠纷的比例高达 </w:t>
      </w:r>
      <w:r>
        <w:rPr>
          <w:rFonts w:ascii="宋体" w:hAnsi="宋体" w:eastAsia="宋体" w:cs="宋体"/>
          <w:b w:val="1"/>
          <w:color w:val="000000"/>
          <w:sz w:val="24"/>
        </w:rPr>
        <w:t>34%</w:t>
      </w:r>
      <w:r>
        <w:rPr>
          <w:rFonts w:hint="eastAsia" w:ascii="宋体" w:hAnsi="宋体" w:eastAsia="宋体" w:cs="宋体"/>
          <w:color w:val="000000"/>
          <w:sz w:val="24"/>
        </w:rPr>
        <w:t>；其中"费率理解不一致""异常扣款缺乏证据""结算周期过长"是前三大原因。</w:t>
      </w:r>
    </w:p>
    <w:p w14:paraId="3BCE6189">
      <w:pPr>
        <w:numPr>
          <w:ilvl w:val="0"/>
          <w:numId w:val="1"/>
        </w:numPr>
        <w:spacing w:before="96" w:after="84" w:line="408"/>
        <w:ind w:left="96" w:right="96"/>
        <w:rPr>
          <w:color w:val="000000"/>
        </w:rPr>
      </w:pPr>
      <w:r>
        <w:rPr>
          <w:rFonts w:hint="eastAsia" w:ascii="宋体" w:hAnsi="宋体" w:eastAsia="宋体" w:cs="宋体"/>
          <w:color w:val="000000"/>
          <w:sz w:val="24"/>
        </w:rPr>
        <w:t xml:space="preserve">中国物流与采购联合会 2025 年调研显示，运输企业平均每月处理的运费争议占结算总量的 </w:t>
      </w:r>
      <w:r>
        <w:rPr>
          <w:rFonts w:ascii="宋体" w:hAnsi="宋体" w:eastAsia="宋体" w:cs="宋体"/>
          <w:b w:val="1"/>
          <w:color w:val="000000"/>
          <w:sz w:val="24"/>
        </w:rPr>
        <w:t>8%–15%</w:t>
      </w:r>
      <w:r>
        <w:rPr>
          <w:rFonts w:hint="eastAsia" w:ascii="宋体" w:hAnsi="宋体" w:eastAsia="宋体" w:cs="宋体"/>
          <w:color w:val="000000"/>
          <w:sz w:val="24"/>
        </w:rPr>
        <w:t xml:space="preserve">，平均处理周期 </w:t>
      </w:r>
      <w:r>
        <w:rPr>
          <w:rFonts w:hint="eastAsia" w:ascii="宋体" w:hAnsi="宋体" w:eastAsia="宋体" w:cs="宋体"/>
          <w:b w:val="1"/>
          <w:color w:val="000000"/>
          <w:sz w:val="24"/>
        </w:rPr>
        <w:t>15–25 天</w:t>
      </w:r>
      <w:r>
        <w:rPr>
          <w:rFonts w:hint="eastAsia" w:ascii="宋体" w:hAnsi="宋体" w:eastAsia="宋体" w:cs="宋体"/>
          <w:color w:val="000000"/>
          <w:sz w:val="24"/>
        </w:rPr>
        <w:t>，长期占用调度与财务的大量精力。</w:t>
      </w:r>
    </w:p>
    <w:p w14:paraId="7DA49C14">
      <w:pPr>
        <w:pStyle w:val="000006"/>
        <w:keepNext w:val="1"/>
        <w:keepLines w:val="1"/>
        <w:spacing w:before="288" w:beforeAutospacing="1" w:after="120" w:afterAutospacing="1" w:line="408"/>
        <w:outlineLvl w:val="1"/>
        <w:rPr>
          <w:color w:val="000000"/>
          <w:sz w:val="32"/>
          <w:szCs w:val="32"/>
        </w:rPr>
      </w:pPr>
      <w:bookmarkStart w:id="6" w:name="sec-2-2"/>
      <w:r>
        <w:rPr>
          <w:rFonts w:hint="eastAsia" w:ascii="黑体" w:hAnsi="黑体" w:eastAsia="黑体" w:cs="黑体"/>
          <w:b w:val="1"/>
          <w:color w:val="000000"/>
          <w:sz w:val="28"/>
        </w:rPr>
        <w:t>2.2 中小物流企业的"糊涂账"困境</w:t>
      </w:r>
      <w:bookmarkEnd w:id="6"/>
    </w:p>
    <w:p w14:paraId="3E48238C">
      <w:pPr>
        <w:spacing w:after="168" w:line="408"/>
        <w:ind w:firstLine="480"/>
        <w:rPr>
          <w:color w:val="000000"/>
        </w:rPr>
      </w:pPr>
      <w:r>
        <w:rPr>
          <w:rFonts w:hint="eastAsia" w:ascii="宋体" w:hAnsi="宋体" w:eastAsia="宋体" w:cs="宋体"/>
          <w:color w:val="000000"/>
          <w:sz w:val="24"/>
        </w:rPr>
        <w:t>据行业数字化调研（超易软件）披露，绝大多数中小物流企业仍沿用"纸质合同 + Excel 多表格记车次 + 人工月底对账"的传统模式，主要痛点包括：</w:t>
      </w:r>
    </w:p>
    <w:tbl>
      <w:tblPr>
        <w:tblW w:w="8306" w:type="dxa"/>
        <w:shd w:color="000000"/>
        <w:tblLayout w:type="autofit"/>
        <w:tblCellMar/>
      </w:tblPr>
      <w:tblGrid>
        <w:gridCol w:w="4153"/>
        <w:gridCol w:w="4153"/>
      </w:tblGrid>
      <w:tr>
        <w:trPr>
          <w:tblHeader w:val="1"/>
        </w:trPr>
        <w:tc>
          <w:tcPr>
            <w:tcW w:w="4153" w:type="dxa"/>
            <w:tcBorders>
              <w:top w:val="single" w:color="bbbbbb" w:sz="6"/>
              <w:left w:val="single" w:color="bbbbbb" w:sz="6"/>
              <w:bottom w:val="single" w:color="bbbbbb" w:sz="6"/>
              <w:right w:val="single" w:color="bbbbbb" w:sz="6"/>
            </w:tcBorders>
            <w:shd w:val="clear" w:fill="eef3fa"/>
            <w:tcMar>
              <w:top w:w="120" w:type="dxa"/>
              <w:left w:w="168" w:type="dxa"/>
              <w:bottom w:w="120" w:type="dxa"/>
              <w:right w:w="168" w:type="dxa"/>
            </w:tcMar>
            <w:vAlign w:val="top"/>
          </w:tcPr>
          <w:p w14:paraId="272D538F">
            <w:pPr>
              <w:jc w:val="left"/>
              <w:rPr>
                <w:b w:val="1"/>
                <w:bCs w:val="1"/>
                <w:color w:val="000000"/>
              </w:rPr>
            </w:pPr>
            <w:r>
              <w:rPr>
                <w:rFonts w:hint="eastAsia" w:ascii="黑体" w:hAnsi="黑体" w:eastAsia="黑体" w:cs="黑体"/>
                <w:b w:val="1"/>
                <w:color w:val="000000"/>
                <w:sz w:val="22"/>
              </w:rPr>
              <w:t>痛点</w:t>
            </w:r>
          </w:p>
        </w:tc>
        <w:tc>
          <w:tcPr>
            <w:tcW w:w="4153" w:type="dxa"/>
            <w:tcBorders>
              <w:top w:val="single" w:color="bbbbbb" w:sz="6"/>
              <w:left w:val="single" w:color="bbbbbb" w:sz="6"/>
              <w:bottom w:val="single" w:color="bbbbbb" w:sz="6"/>
              <w:right w:val="single" w:color="bbbbbb" w:sz="6"/>
            </w:tcBorders>
            <w:shd w:val="clear" w:fill="eef3fa"/>
            <w:tcMar>
              <w:top w:w="120" w:type="dxa"/>
              <w:left w:w="168" w:type="dxa"/>
              <w:bottom w:w="120" w:type="dxa"/>
              <w:right w:w="168" w:type="dxa"/>
            </w:tcMar>
            <w:vAlign w:val="top"/>
          </w:tcPr>
          <w:p w14:paraId="6C5CB36C">
            <w:pPr>
              <w:jc w:val="left"/>
              <w:rPr>
                <w:b w:val="1"/>
                <w:bCs w:val="1"/>
                <w:color w:val="000000"/>
              </w:rPr>
            </w:pPr>
            <w:r>
              <w:rPr>
                <w:rFonts w:hint="eastAsia" w:ascii="黑体" w:hAnsi="黑体" w:eastAsia="黑体" w:cs="黑体"/>
                <w:b w:val="1"/>
                <w:color w:val="000000"/>
                <w:sz w:val="22"/>
              </w:rPr>
              <w:t>行业数据</w:t>
            </w:r>
          </w:p>
        </w:tc>
      </w:tr>
      <w:tr>
        <w:trPr/>
        <w:tc>
          <w:tcPr>
            <w:tcW w:w="4153"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4FDA3554">
            <w:pPr>
              <w:jc w:val="left"/>
              <w:rPr>
                <w:color w:val="000000"/>
              </w:rPr>
            </w:pPr>
            <w:r>
              <w:rPr>
                <w:rFonts w:hint="eastAsia" w:ascii="宋体" w:hAnsi="宋体" w:eastAsia="宋体" w:cs="宋体"/>
                <w:color w:val="000000"/>
                <w:sz w:val="22"/>
              </w:rPr>
              <w:t>依靠人工表格统计车次与运费</w:t>
            </w:r>
          </w:p>
        </w:tc>
        <w:tc>
          <w:tcPr>
            <w:tcW w:w="4153"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0501194D">
            <w:pPr>
              <w:jc w:val="left"/>
              <w:rPr>
                <w:color w:val="000000"/>
              </w:rPr>
            </w:pPr>
            <w:r>
              <w:rPr>
                <w:rFonts w:hint="eastAsia" w:ascii="宋体" w:hAnsi="宋体" w:eastAsia="宋体" w:cs="宋体"/>
                <w:color w:val="000000"/>
                <w:sz w:val="22"/>
              </w:rPr>
              <w:t>83.7% 的中小物流企业</w:t>
            </w:r>
          </w:p>
        </w:tc>
      </w:tr>
      <w:tr>
        <w:trPr/>
        <w:tc>
          <w:tcPr>
            <w:tcW w:w="4153"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4317D660">
            <w:pPr>
              <w:jc w:val="left"/>
              <w:rPr>
                <w:color w:val="000000"/>
              </w:rPr>
            </w:pPr>
            <w:r>
              <w:rPr>
                <w:rFonts w:hint="eastAsia" w:ascii="宋体" w:hAnsi="宋体" w:eastAsia="宋体" w:cs="宋体"/>
                <w:color w:val="000000"/>
                <w:sz w:val="22"/>
              </w:rPr>
              <w:t>出现过车次重复记账、运费核算偏差</w:t>
            </w:r>
          </w:p>
        </w:tc>
        <w:tc>
          <w:tcPr>
            <w:tcW w:w="4153"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169F6F9D">
            <w:pPr>
              <w:jc w:val="left"/>
              <w:rPr>
                <w:color w:val="000000"/>
              </w:rPr>
            </w:pPr>
            <w:r>
              <w:rPr>
                <w:rFonts w:ascii="宋体" w:hAnsi="宋体" w:eastAsia="宋体" w:cs="宋体"/>
                <w:color w:val="000000"/>
                <w:sz w:val="22"/>
              </w:rPr>
              <w:t>76.2%</w:t>
            </w:r>
          </w:p>
        </w:tc>
      </w:tr>
      <w:tr>
        <w:trPr/>
        <w:tc>
          <w:tcPr>
            <w:tcW w:w="4153"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0A010E85">
            <w:pPr>
              <w:jc w:val="left"/>
              <w:rPr>
                <w:color w:val="000000"/>
              </w:rPr>
            </w:pPr>
            <w:r>
              <w:rPr>
                <w:rFonts w:hint="eastAsia" w:ascii="宋体" w:hAnsi="宋体" w:eastAsia="宋体" w:cs="宋体"/>
                <w:color w:val="000000"/>
                <w:sz w:val="22"/>
              </w:rPr>
              <w:t>回单丢失、滞后导致回款延误</w:t>
            </w:r>
          </w:p>
        </w:tc>
        <w:tc>
          <w:tcPr>
            <w:tcW w:w="4153"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5D813536">
            <w:pPr>
              <w:jc w:val="left"/>
              <w:rPr>
                <w:color w:val="000000"/>
              </w:rPr>
            </w:pPr>
            <w:r>
              <w:rPr>
                <w:rFonts w:ascii="宋体" w:hAnsi="宋体" w:eastAsia="宋体" w:cs="宋体"/>
                <w:color w:val="000000"/>
                <w:sz w:val="22"/>
              </w:rPr>
              <w:t>80.5%</w:t>
            </w:r>
          </w:p>
        </w:tc>
      </w:tr>
      <w:tr>
        <w:trPr/>
        <w:tc>
          <w:tcPr>
            <w:tcW w:w="4153"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66F83853">
            <w:pPr>
              <w:jc w:val="left"/>
              <w:rPr>
                <w:color w:val="000000"/>
              </w:rPr>
            </w:pPr>
            <w:r>
              <w:rPr>
                <w:rFonts w:hint="eastAsia" w:ascii="宋体" w:hAnsi="宋体" w:eastAsia="宋体" w:cs="宋体"/>
                <w:color w:val="000000"/>
                <w:sz w:val="22"/>
              </w:rPr>
              <w:t>通用系统无法适配物流月结对账、批次核销</w:t>
            </w:r>
          </w:p>
        </w:tc>
        <w:tc>
          <w:tcPr>
            <w:tcW w:w="4153"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4A7868C6">
            <w:pPr>
              <w:jc w:val="left"/>
              <w:rPr>
                <w:color w:val="000000"/>
              </w:rPr>
            </w:pPr>
            <w:r>
              <w:rPr>
                <w:rFonts w:ascii="宋体" w:hAnsi="宋体" w:eastAsia="宋体" w:cs="宋体"/>
                <w:color w:val="000000"/>
                <w:sz w:val="22"/>
              </w:rPr>
              <w:t>68.9%</w:t>
            </w:r>
          </w:p>
        </w:tc>
      </w:tr>
    </w:tbl>
    <w:p w14:paraId="74A57D02">
      <w:pPr>
        <w:spacing w:after="168" w:line="408"/>
        <w:ind w:firstLine="480"/>
        <w:rPr>
          <w:color w:val="000000"/>
        </w:rPr>
      </w:pPr>
      <w:r>
        <w:rPr>
          <w:rFonts w:hint="eastAsia" w:ascii="宋体" w:hAnsi="宋体" w:eastAsia="宋体" w:cs="宋体"/>
          <w:color w:val="000000"/>
          <w:sz w:val="24"/>
        </w:rPr>
        <w:t>具体表现为：月结对账模式下，单月成百上千笔车次运费需统一汇总，"错算、漏算、重复计算"频发；纸质/电子回单作为核销凭证管理混乱，导致合格运费无法及时结算、形成滞留未结款项；多承运方、多线路混杂，账目分类不清，无法精准核算单线路、单承运方的成本与盈利。</w:t>
      </w:r>
    </w:p>
    <w:p w14:paraId="50AA5BED">
      <w:pPr>
        <w:pStyle w:val="000006"/>
        <w:keepNext w:val="1"/>
        <w:keepLines w:val="1"/>
        <w:spacing w:before="288" w:beforeAutospacing="1" w:after="120" w:afterAutospacing="1" w:line="408"/>
        <w:outlineLvl w:val="1"/>
        <w:rPr>
          <w:color w:val="000000"/>
          <w:sz w:val="32"/>
          <w:szCs w:val="32"/>
        </w:rPr>
      </w:pPr>
      <w:bookmarkStart w:id="7" w:name="sec-2-3"/>
      <w:r>
        <w:rPr>
          <w:rFonts w:hint="eastAsia" w:ascii="黑体" w:hAnsi="黑体" w:eastAsia="黑体" w:cs="黑体"/>
          <w:b w:val="1"/>
          <w:color w:val="000000"/>
          <w:sz w:val="28"/>
        </w:rPr>
        <w:t>2.3 网络货运平台的透明度与合规争议</w:t>
      </w:r>
      <w:bookmarkEnd w:id="7"/>
    </w:p>
    <w:p w14:paraId="5CFCB3A1">
      <w:pPr>
        <w:spacing w:after="168" w:line="408"/>
        <w:ind w:firstLine="480"/>
        <w:rPr>
          <w:color w:val="000000"/>
        </w:rPr>
      </w:pPr>
      <w:r>
        <w:rPr>
          <w:rFonts w:hint="eastAsia" w:ascii="宋体" w:hAnsi="宋体" w:eastAsia="宋体" w:cs="宋体"/>
          <w:color w:val="000000"/>
          <w:sz w:val="24"/>
        </w:rPr>
        <w:t>网络货运（平台型）模式在提升撮合效率的同时，也暴露出价格机制相关的消费痛点。江苏省消费者权益保护委员会 2025 年发布的消费调查指出，网络货运平台核心问题可归纳为：价格机制不透明、平台信息与实际服务不符、服务质量参差不齐、纠纷处理机制低效。具体数据：</w:t>
      </w:r>
    </w:p>
    <w:p w14:paraId="290167C5">
      <w:pPr>
        <w:numPr>
          <w:ilvl w:val="0"/>
          <w:numId w:val="1"/>
        </w:numPr>
        <w:spacing w:before="96" w:after="84" w:line="408"/>
        <w:ind w:left="96" w:right="96"/>
        <w:rPr>
          <w:color w:val="000000"/>
        </w:rPr>
      </w:pPr>
      <w:r>
        <w:rPr>
          <w:rFonts w:hint="eastAsia" w:ascii="宋体" w:hAnsi="宋体" w:eastAsia="宋体" w:cs="宋体"/>
          <w:color w:val="000000"/>
          <w:sz w:val="24"/>
        </w:rPr>
        <w:t>仅 30% 受访者认为运费计算方式"非常清晰"，54.3% 认为"比较清晰"，15.7% 认为"一般或不太清晰"（存在隐性费用）；</w:t>
      </w:r>
    </w:p>
    <w:p w14:paraId="489F2D99">
      <w:pPr>
        <w:numPr>
          <w:ilvl w:val="0"/>
          <w:numId w:val="1"/>
        </w:numPr>
        <w:spacing w:before="96" w:after="84" w:line="408"/>
        <w:ind w:left="96" w:right="96"/>
        <w:rPr>
          <w:color w:val="000000"/>
        </w:rPr>
      </w:pPr>
      <w:r>
        <w:rPr>
          <w:rFonts w:hint="eastAsia" w:ascii="宋体" w:hAnsi="宋体" w:eastAsia="宋体" w:cs="宋体"/>
          <w:color w:val="000000"/>
          <w:sz w:val="24"/>
        </w:rPr>
        <w:t>25.7% 的受访者遇到过实际运费、里程、车型与平台显示不符的情况。</w:t>
      </w:r>
    </w:p>
    <w:p w14:paraId="030132DD">
      <w:pPr>
        <w:spacing w:after="168" w:line="408"/>
        <w:ind w:firstLine="480"/>
        <w:rPr>
          <w:color w:val="000000"/>
        </w:rPr>
      </w:pPr>
      <w:r>
        <w:rPr>
          <w:rFonts w:hint="eastAsia" w:ascii="宋体" w:hAnsi="宋体" w:eastAsia="宋体" w:cs="宋体"/>
          <w:color w:val="000000"/>
          <w:sz w:val="24"/>
        </w:rPr>
        <w:t>典型问题包括：抽佣比例过高、多重收费、恶意压价竞争、信息与实际履约偏差，以及司机端"隐性扣费"。</w:t>
      </w:r>
    </w:p>
    <w:p w14:paraId="649139A4">
      <w:pPr>
        <w:pStyle w:val="000006"/>
        <w:keepNext w:val="1"/>
        <w:keepLines w:val="1"/>
        <w:spacing w:before="288" w:beforeAutospacing="1" w:after="120" w:afterAutospacing="1" w:line="408"/>
        <w:outlineLvl w:val="1"/>
        <w:rPr>
          <w:color w:val="000000"/>
          <w:sz w:val="32"/>
          <w:szCs w:val="32"/>
        </w:rPr>
      </w:pPr>
      <w:bookmarkStart w:id="8" w:name="sec-2-4"/>
      <w:r>
        <w:rPr>
          <w:rFonts w:hint="eastAsia" w:ascii="黑体" w:hAnsi="黑体" w:eastAsia="黑体" w:cs="黑体"/>
          <w:b w:val="1"/>
          <w:color w:val="000000"/>
          <w:sz w:val="28"/>
        </w:rPr>
        <w:t>2.4 运费结算争议的高发场景</w:t>
      </w:r>
      <w:bookmarkEnd w:id="8"/>
    </w:p>
    <w:p w14:paraId="11D83EBF">
      <w:pPr>
        <w:spacing w:after="168" w:line="408"/>
        <w:ind w:firstLine="480"/>
        <w:rPr>
          <w:color w:val="000000"/>
        </w:rPr>
      </w:pPr>
      <w:r>
        <w:rPr>
          <w:rFonts w:hint="eastAsia" w:ascii="宋体" w:hAnsi="宋体" w:eastAsia="宋体" w:cs="宋体"/>
          <w:color w:val="000000"/>
          <w:sz w:val="24"/>
        </w:rPr>
        <w:t>科箭软件基于 TMS 运费结算实践，将争议高发场景归纳为以下五类，集中在"对账与结算"后两段：</w:t>
      </w:r>
    </w:p>
    <w:p w14:paraId="52B834F0">
      <w:pPr>
        <w:numPr>
          <w:ilvl w:val="0"/>
          <w:numId w:val="2"/>
        </w:numPr>
        <w:spacing w:before="96" w:after="84" w:line="408"/>
        <w:ind w:left="96" w:right="96"/>
        <w:rPr>
          <w:color w:val="000000"/>
        </w:rPr>
      </w:pPr>
      <w:r>
        <w:rPr>
          <w:rFonts w:hint="eastAsia" w:ascii="宋体" w:hAnsi="宋体" w:eastAsia="宋体" w:cs="宋体"/>
          <w:b w:val="1"/>
          <w:color w:val="000000"/>
          <w:sz w:val="24"/>
        </w:rPr>
        <w:t>里程争议</w:t>
      </w:r>
      <w:r>
        <w:rPr>
          <w:rFonts w:hint="eastAsia" w:ascii="宋体" w:hAnsi="宋体" w:eastAsia="宋体" w:cs="宋体"/>
          <w:color w:val="000000"/>
          <w:sz w:val="24"/>
        </w:rPr>
        <w:t>：TMS 按 GPS 实际里程计费，承运商以"导航推荐里程"或"经验里程"反驳。高速封闭、城区限行、临时绕路均会导致实际里程偏多。</w:t>
      </w:r>
    </w:p>
    <w:p w14:paraId="5E6D574B">
      <w:pPr>
        <w:numPr>
          <w:ilvl w:val="0"/>
          <w:numId w:val="2"/>
        </w:numPr>
        <w:spacing w:before="96" w:after="84" w:line="408"/>
        <w:ind w:left="96" w:right="96"/>
        <w:rPr>
          <w:color w:val="000000"/>
        </w:rPr>
      </w:pPr>
      <w:r>
        <w:rPr>
          <w:rFonts w:hint="eastAsia" w:ascii="宋体" w:hAnsi="宋体" w:eastAsia="宋体" w:cs="宋体"/>
          <w:b w:val="1"/>
          <w:color w:val="000000"/>
          <w:sz w:val="24"/>
        </w:rPr>
        <w:t>等待/装卸时长争议</w:t>
      </w:r>
      <w:r>
        <w:rPr>
          <w:rFonts w:hint="eastAsia" w:ascii="宋体" w:hAnsi="宋体" w:eastAsia="宋体" w:cs="宋体"/>
          <w:color w:val="000000"/>
          <w:sz w:val="24"/>
        </w:rPr>
        <w:t>：装卸货等待时间是否计费、计费标准如何，双方易产生分歧。</w:t>
      </w:r>
    </w:p>
    <w:p w14:paraId="62F49817">
      <w:pPr>
        <w:numPr>
          <w:ilvl w:val="0"/>
          <w:numId w:val="2"/>
        </w:numPr>
        <w:spacing w:before="96" w:after="84" w:line="408"/>
        <w:ind w:left="96" w:right="96"/>
        <w:rPr>
          <w:color w:val="000000"/>
        </w:rPr>
      </w:pPr>
      <w:r>
        <w:rPr>
          <w:rFonts w:hint="eastAsia" w:ascii="宋体" w:hAnsi="宋体" w:eastAsia="宋体" w:cs="宋体"/>
          <w:b w:val="1"/>
          <w:color w:val="000000"/>
          <w:sz w:val="24"/>
        </w:rPr>
        <w:t>附加费争议</w:t>
      </w:r>
      <w:r>
        <w:rPr>
          <w:rFonts w:hint="eastAsia" w:ascii="宋体" w:hAnsi="宋体" w:eastAsia="宋体" w:cs="宋体"/>
          <w:color w:val="000000"/>
          <w:sz w:val="24"/>
        </w:rPr>
        <w:t>：等装费、夜班费、节假日费、燃油附加等附加费的计收依据与比例缺乏事先约定。</w:t>
      </w:r>
    </w:p>
    <w:p w14:paraId="0F72FB39">
      <w:pPr>
        <w:numPr>
          <w:ilvl w:val="0"/>
          <w:numId w:val="2"/>
        </w:numPr>
        <w:spacing w:before="96" w:after="84" w:line="408"/>
        <w:ind w:left="96" w:right="96"/>
        <w:rPr>
          <w:color w:val="000000"/>
        </w:rPr>
      </w:pPr>
      <w:r>
        <w:rPr>
          <w:rFonts w:hint="eastAsia" w:ascii="宋体" w:hAnsi="宋体" w:eastAsia="宋体" w:cs="宋体"/>
          <w:b w:val="1"/>
          <w:color w:val="000000"/>
          <w:sz w:val="24"/>
        </w:rPr>
        <w:t>税率与结算周期争议</w:t>
      </w:r>
      <w:r>
        <w:rPr>
          <w:rFonts w:hint="eastAsia" w:ascii="宋体" w:hAnsi="宋体" w:eastAsia="宋体" w:cs="宋体"/>
          <w:color w:val="000000"/>
          <w:sz w:val="24"/>
        </w:rPr>
        <w:t>：税率适用、月结/季结周期、保底金额、阶梯优惠等口径不一。</w:t>
      </w:r>
    </w:p>
    <w:p w14:paraId="70B70C09">
      <w:pPr>
        <w:numPr>
          <w:ilvl w:val="0"/>
          <w:numId w:val="2"/>
        </w:numPr>
        <w:spacing w:before="96" w:after="84" w:line="408"/>
        <w:ind w:left="96" w:right="96"/>
        <w:rPr>
          <w:color w:val="000000"/>
        </w:rPr>
      </w:pPr>
      <w:r>
        <w:rPr>
          <w:rFonts w:hint="eastAsia" w:ascii="宋体" w:hAnsi="宋体" w:eastAsia="宋体" w:cs="宋体"/>
          <w:b w:val="1"/>
          <w:color w:val="000000"/>
          <w:sz w:val="24"/>
        </w:rPr>
        <w:t>异常扣款争议</w:t>
      </w:r>
      <w:r>
        <w:rPr>
          <w:rFonts w:hint="eastAsia" w:ascii="宋体" w:hAnsi="宋体" w:eastAsia="宋体" w:cs="宋体"/>
          <w:color w:val="000000"/>
          <w:sz w:val="24"/>
        </w:rPr>
        <w:t>：货损、延误、改单等异常情形下，扣款缺乏凭证与统一标准，双方各执一词。</w:t>
      </w:r>
    </w:p>
    <w:p w14:paraId="2BB13F24">
      <w:pPr>
        <w:pStyle w:val="000005"/>
        <w:keepNext w:val="1"/>
        <w:keepLines w:val="1"/>
        <w:pBdr>
          <w:bottom w:val="single" w:color="1a4f8b" w:sz="12" w:space="3"/>
        </w:pBdr>
        <w:spacing w:before="384" w:beforeAutospacing="1" w:after="168" w:afterAutospacing="1" w:line="408"/>
        <w:outlineLvl w:val="0"/>
        <w:rPr>
          <w:color w:val="1a4f8b"/>
          <w:kern w:val="44"/>
          <w:sz w:val="44"/>
          <w:szCs w:val="44"/>
        </w:rPr>
      </w:pPr>
      <w:bookmarkStart w:id="9" w:name="chapter-3"/>
      <w:r>
        <w:rPr>
          <w:rFonts w:hint="eastAsia" w:ascii="黑体" w:hAnsi="黑体" w:eastAsia="黑体" w:cs="黑体"/>
          <w:b w:val="1"/>
          <w:color w:val="1a4f8b"/>
          <w:sz w:val="36"/>
        </w:rPr>
        <w:t>第三章 行业现状与发展趋势</w:t>
      </w:r>
      <w:bookmarkEnd w:id="9"/>
    </w:p>
    <w:p w14:paraId="2973974A">
      <w:pPr>
        <w:pStyle w:val="000006"/>
        <w:keepNext w:val="1"/>
        <w:keepLines w:val="1"/>
        <w:spacing w:before="288" w:beforeAutospacing="1" w:after="120" w:afterAutospacing="1" w:line="408"/>
        <w:outlineLvl w:val="1"/>
        <w:rPr>
          <w:color w:val="000000"/>
          <w:sz w:val="32"/>
          <w:szCs w:val="32"/>
        </w:rPr>
      </w:pPr>
      <w:bookmarkStart w:id="10" w:name="sec-3-1"/>
      <w:r>
        <w:rPr>
          <w:rFonts w:hint="eastAsia" w:ascii="黑体" w:hAnsi="黑体" w:eastAsia="黑体" w:cs="黑体"/>
          <w:b w:val="1"/>
          <w:color w:val="000000"/>
          <w:sz w:val="28"/>
        </w:rPr>
        <w:t>3.1 政策驱动：降本与规范并重</w:t>
      </w:r>
      <w:bookmarkEnd w:id="10"/>
    </w:p>
    <w:p w14:paraId="339CE95D">
      <w:pPr>
        <w:numPr>
          <w:ilvl w:val="0"/>
          <w:numId w:val="1"/>
        </w:numPr>
        <w:spacing w:before="96" w:after="84" w:line="408"/>
        <w:ind w:left="96" w:right="96"/>
        <w:rPr>
          <w:color w:val="000000"/>
        </w:rPr>
      </w:pPr>
      <w:r>
        <w:rPr>
          <w:rFonts w:hint="eastAsia" w:ascii="宋体" w:hAnsi="宋体" w:eastAsia="宋体" w:cs="宋体"/>
          <w:color w:val="000000"/>
          <w:sz w:val="24"/>
        </w:rPr>
        <w:t>《有效降低全社会物流成本行动方案》（2024-11，中办、国办）从制度层面推动铁路货运转型、公路货运规模化、物流信息开放互联共享，为费用标准化奠定基础。</w:t>
      </w:r>
    </w:p>
    <w:p w14:paraId="2EB4E575">
      <w:pPr>
        <w:numPr>
          <w:ilvl w:val="0"/>
          <w:numId w:val="1"/>
        </w:numPr>
        <w:spacing w:before="96" w:after="84" w:line="408"/>
        <w:ind w:left="96" w:right="96"/>
        <w:rPr>
          <w:color w:val="000000"/>
        </w:rPr>
      </w:pPr>
      <w:r>
        <w:rPr>
          <w:rFonts w:hint="eastAsia" w:ascii="宋体" w:hAnsi="宋体" w:eastAsia="宋体" w:cs="宋体"/>
          <w:color w:val="000000"/>
          <w:sz w:val="24"/>
        </w:rPr>
        <w:t>交通运输部联合有关部门部署开展"交通运输新业态平台收费治理工作"，要求平台公开计价规则、合理设定抽成比例上限、取消重复收费项目，并加快健全道路货运新业态管理制度标准。</w:t>
      </w:r>
    </w:p>
    <w:p w14:paraId="0A2CC34A">
      <w:pPr>
        <w:pStyle w:val="000006"/>
        <w:keepNext w:val="1"/>
        <w:keepLines w:val="1"/>
        <w:spacing w:before="288" w:beforeAutospacing="1" w:after="120" w:afterAutospacing="1" w:line="408"/>
        <w:outlineLvl w:val="1"/>
        <w:rPr>
          <w:color w:val="000000"/>
          <w:sz w:val="32"/>
          <w:szCs w:val="32"/>
        </w:rPr>
      </w:pPr>
      <w:bookmarkStart w:id="11" w:name="sec-3-2"/>
      <w:r>
        <w:rPr>
          <w:rFonts w:hint="eastAsia" w:ascii="黑体" w:hAnsi="黑体" w:eastAsia="黑体" w:cs="黑体"/>
          <w:b w:val="1"/>
          <w:color w:val="000000"/>
          <w:sz w:val="28"/>
        </w:rPr>
        <w:t>3.2 监管与自律：保障司机与货主权益</w:t>
      </w:r>
      <w:bookmarkEnd w:id="11"/>
    </w:p>
    <w:p w14:paraId="2ADA2EDD">
      <w:pPr>
        <w:spacing w:after="168" w:line="408"/>
        <w:ind w:firstLine="480"/>
        <w:rPr>
          <w:color w:val="000000"/>
        </w:rPr>
      </w:pPr>
      <w:r>
        <w:rPr>
          <w:rFonts w:hint="eastAsia" w:ascii="宋体" w:hAnsi="宋体" w:eastAsia="宋体" w:cs="宋体"/>
          <w:color w:val="000000"/>
          <w:sz w:val="24"/>
        </w:rPr>
        <w:t>2025 年 7 月，中国道路运输协会组织满帮集团、货拉拉、滴滴送货、快狗打车等 4 家主要货运平台企业，签署保障货车司机合法权益自律公约，发布 10 项公开承诺，涵盖三大方面：</w:t>
      </w:r>
    </w:p>
    <w:p w14:paraId="7C10FB91">
      <w:pPr>
        <w:numPr>
          <w:ilvl w:val="0"/>
          <w:numId w:val="3"/>
        </w:numPr>
        <w:spacing w:before="96" w:after="84" w:line="408"/>
        <w:ind w:left="96" w:right="96"/>
        <w:rPr>
          <w:color w:val="000000"/>
        </w:rPr>
      </w:pPr>
      <w:r>
        <w:rPr>
          <w:rFonts w:hint="eastAsia" w:ascii="宋体" w:hAnsi="宋体" w:eastAsia="宋体" w:cs="宋体"/>
          <w:color w:val="000000"/>
          <w:sz w:val="24"/>
        </w:rPr>
        <w:t>严格货源审核、实施货主实名制，建立"一家封禁、四家共同抵制"的失信货主联防机制；</w:t>
      </w:r>
    </w:p>
    <w:p w14:paraId="6D90E48F">
      <w:pPr>
        <w:numPr>
          <w:ilvl w:val="0"/>
          <w:numId w:val="3"/>
        </w:numPr>
        <w:spacing w:before="96" w:after="84" w:line="408"/>
        <w:ind w:left="96" w:right="96"/>
        <w:rPr>
          <w:color w:val="000000"/>
        </w:rPr>
      </w:pPr>
      <w:r>
        <w:rPr>
          <w:rFonts w:hint="eastAsia" w:ascii="宋体" w:hAnsi="宋体" w:eastAsia="宋体" w:cs="宋体"/>
          <w:color w:val="000000"/>
          <w:sz w:val="24"/>
        </w:rPr>
        <w:t>持续开展抽成"阳光行动"，降低过高收费与抽成比例，建立过低运价阻断机制，实施货主预付运费、运费补偿险、运费催付、赔偿先付等；</w:t>
      </w:r>
    </w:p>
    <w:p w14:paraId="132CF5DB">
      <w:pPr>
        <w:numPr>
          <w:ilvl w:val="0"/>
          <w:numId w:val="3"/>
        </w:numPr>
        <w:spacing w:before="96" w:after="84" w:line="408"/>
        <w:ind w:left="96" w:right="96"/>
        <w:rPr>
          <w:color w:val="000000"/>
        </w:rPr>
      </w:pPr>
      <w:r>
        <w:rPr>
          <w:rFonts w:hint="eastAsia" w:ascii="宋体" w:hAnsi="宋体" w:eastAsia="宋体" w:cs="宋体"/>
          <w:color w:val="000000"/>
          <w:sz w:val="24"/>
        </w:rPr>
        <w:t>不强制司机参与促销，不将行为分/能量值与运费提现挂钩，畅通 12328 热线接诉即办。</w:t>
      </w:r>
    </w:p>
    <w:p w14:paraId="19ECFB5D">
      <w:pPr>
        <w:pStyle w:val="000006"/>
        <w:keepNext w:val="1"/>
        <w:keepLines w:val="1"/>
        <w:spacing w:before="288" w:beforeAutospacing="1" w:after="120" w:afterAutospacing="1" w:line="408"/>
        <w:outlineLvl w:val="1"/>
        <w:rPr>
          <w:color w:val="000000"/>
          <w:sz w:val="32"/>
          <w:szCs w:val="32"/>
        </w:rPr>
      </w:pPr>
      <w:bookmarkStart w:id="12" w:name="sec-3-3"/>
      <w:r>
        <w:rPr>
          <w:rFonts w:hint="eastAsia" w:ascii="黑体" w:hAnsi="黑体" w:eastAsia="黑体" w:cs="黑体"/>
          <w:b w:val="1"/>
          <w:color w:val="000000"/>
          <w:sz w:val="28"/>
        </w:rPr>
        <w:t>3.3 技术趋势：从"人算"到"系统算"</w:t>
      </w:r>
      <w:bookmarkEnd w:id="12"/>
    </w:p>
    <w:p w14:paraId="55DA3E55">
      <w:pPr>
        <w:spacing w:after="168" w:line="408"/>
        <w:ind w:firstLine="480"/>
        <w:rPr>
          <w:color w:val="000000"/>
        </w:rPr>
      </w:pPr>
      <w:r>
        <w:rPr>
          <w:rFonts w:hint="eastAsia" w:ascii="宋体" w:hAnsi="宋体" w:eastAsia="宋体" w:cs="宋体"/>
          <w:color w:val="000000"/>
          <w:sz w:val="24"/>
        </w:rPr>
        <w:t>行业正加速从人工 Excel 对账，转向以 TMS（运输管理系统）、WMS（仓储管理系统）、BMS（计费管理系统）为核心的数字化计费与自动化对账。核心能力演进包括：</w:t>
      </w:r>
    </w:p>
    <w:p w14:paraId="6148D33B">
      <w:pPr>
        <w:numPr>
          <w:ilvl w:val="0"/>
          <w:numId w:val="1"/>
        </w:numPr>
        <w:spacing w:before="96" w:after="84" w:line="408"/>
        <w:ind w:left="96" w:right="96"/>
        <w:rPr>
          <w:color w:val="000000"/>
        </w:rPr>
      </w:pPr>
      <w:r>
        <w:rPr>
          <w:rFonts w:hint="eastAsia" w:ascii="宋体" w:hAnsi="宋体" w:eastAsia="宋体" w:cs="宋体"/>
          <w:b w:val="1"/>
          <w:color w:val="000000"/>
          <w:sz w:val="24"/>
        </w:rPr>
        <w:t>结构化费率管理</w:t>
      </w:r>
      <w:r>
        <w:rPr>
          <w:rFonts w:hint="eastAsia" w:ascii="宋体" w:hAnsi="宋体" w:eastAsia="宋体" w:cs="宋体"/>
          <w:color w:val="000000"/>
          <w:sz w:val="24"/>
        </w:rPr>
        <w:t>：将分散在合同、Excel、聊天记录中的费率规则，转化为系统可自动计算的数据。</w:t>
      </w:r>
    </w:p>
    <w:p w14:paraId="6A252617">
      <w:pPr>
        <w:numPr>
          <w:ilvl w:val="0"/>
          <w:numId w:val="1"/>
        </w:numPr>
        <w:spacing w:before="96" w:after="84" w:line="408"/>
        <w:ind w:left="96" w:right="96"/>
        <w:rPr>
          <w:color w:val="000000"/>
        </w:rPr>
      </w:pPr>
      <w:r>
        <w:rPr>
          <w:rFonts w:hint="eastAsia" w:ascii="宋体" w:hAnsi="宋体" w:eastAsia="宋体" w:cs="宋体"/>
          <w:b w:val="1"/>
          <w:color w:val="000000"/>
          <w:sz w:val="24"/>
        </w:rPr>
        <w:t>计费规则引擎</w:t>
      </w:r>
      <w:r>
        <w:rPr>
          <w:rFonts w:hint="eastAsia" w:ascii="宋体" w:hAnsi="宋体" w:eastAsia="宋体" w:cs="宋体"/>
          <w:color w:val="000000"/>
          <w:sz w:val="24"/>
        </w:rPr>
        <w:t>：支持按线路×车型、重量/体积阶梯、百分比附加、固定金额附加、条件折扣等多维计费模型，实现"一客一策"。</w:t>
      </w:r>
    </w:p>
    <w:p w14:paraId="41F8E8E7">
      <w:pPr>
        <w:numPr>
          <w:ilvl w:val="0"/>
          <w:numId w:val="1"/>
        </w:numPr>
        <w:spacing w:before="96" w:after="84" w:line="408"/>
        <w:ind w:left="96" w:right="96"/>
        <w:rPr>
          <w:color w:val="000000"/>
        </w:rPr>
      </w:pPr>
      <w:r>
        <w:rPr>
          <w:rFonts w:hint="eastAsia" w:ascii="宋体" w:hAnsi="宋体" w:eastAsia="宋体" w:cs="宋体"/>
          <w:b w:val="1"/>
          <w:color w:val="000000"/>
          <w:sz w:val="24"/>
        </w:rPr>
        <w:t>自动化对账与异常预警</w:t>
      </w:r>
      <w:r>
        <w:rPr>
          <w:rFonts w:hint="eastAsia" w:ascii="宋体" w:hAnsi="宋体" w:eastAsia="宋体" w:cs="宋体"/>
          <w:color w:val="000000"/>
          <w:sz w:val="24"/>
        </w:rPr>
        <w:t>：系统自动抓取 ERP/WMS/承运商平台数据，按规则引擎生成理论运费，与承运商账单比对，识别超收、漏收等异常。</w:t>
      </w:r>
    </w:p>
    <w:p w14:paraId="3338A46B">
      <w:pPr>
        <w:numPr>
          <w:ilvl w:val="0"/>
          <w:numId w:val="1"/>
        </w:numPr>
        <w:spacing w:before="96" w:after="84" w:line="408"/>
        <w:ind w:left="96" w:right="96"/>
        <w:rPr>
          <w:color w:val="000000"/>
        </w:rPr>
      </w:pPr>
      <w:r>
        <w:rPr>
          <w:rFonts w:hint="eastAsia" w:ascii="宋体" w:hAnsi="宋体" w:eastAsia="宋体" w:cs="宋体"/>
          <w:b w:val="1"/>
          <w:color w:val="000000"/>
          <w:sz w:val="24"/>
        </w:rPr>
        <w:t>电子回单与在线确权</w:t>
      </w:r>
      <w:r>
        <w:rPr>
          <w:rFonts w:hint="eastAsia" w:ascii="宋体" w:hAnsi="宋体" w:eastAsia="宋体" w:cs="宋体"/>
          <w:color w:val="000000"/>
          <w:sz w:val="24"/>
        </w:rPr>
        <w:t>：以电子签收、电子回单替代纸质凭证，实现在线协同审核与一键确权。</w:t>
      </w:r>
    </w:p>
    <w:p w14:paraId="0A33D454">
      <w:pPr>
        <w:numPr>
          <w:ilvl w:val="0"/>
          <w:numId w:val="1"/>
        </w:numPr>
        <w:spacing w:before="96" w:after="84" w:line="408"/>
        <w:ind w:left="96" w:right="96"/>
        <w:rPr>
          <w:color w:val="000000"/>
        </w:rPr>
      </w:pPr>
      <w:r>
        <w:rPr>
          <w:rFonts w:hint="eastAsia" w:ascii="宋体" w:hAnsi="宋体" w:eastAsia="宋体" w:cs="宋体"/>
          <w:b w:val="1"/>
          <w:color w:val="000000"/>
          <w:sz w:val="24"/>
        </w:rPr>
        <w:t>业财一体化</w:t>
      </w:r>
      <w:r>
        <w:rPr>
          <w:rFonts w:hint="eastAsia" w:ascii="宋体" w:hAnsi="宋体" w:eastAsia="宋体" w:cs="宋体"/>
          <w:color w:val="000000"/>
          <w:sz w:val="24"/>
        </w:rPr>
        <w:t>：对账结果自动回传 ERP/财务系统，完成结算同步。</w:t>
      </w:r>
    </w:p>
    <w:p w14:paraId="1A028FEF">
      <w:pPr>
        <w:pStyle w:val="000005"/>
        <w:keepNext w:val="1"/>
        <w:keepLines w:val="1"/>
        <w:pBdr>
          <w:bottom w:val="single" w:color="1a4f8b" w:sz="12" w:space="3"/>
        </w:pBdr>
        <w:spacing w:before="384" w:beforeAutospacing="1" w:after="168" w:afterAutospacing="1" w:line="408"/>
        <w:outlineLvl w:val="0"/>
        <w:rPr>
          <w:color w:val="1a4f8b"/>
          <w:kern w:val="44"/>
          <w:sz w:val="44"/>
          <w:szCs w:val="44"/>
        </w:rPr>
      </w:pPr>
      <w:bookmarkStart w:id="13" w:name="chapter-4"/>
      <w:r>
        <w:rPr>
          <w:rFonts w:hint="eastAsia" w:ascii="黑体" w:hAnsi="黑体" w:eastAsia="黑体" w:cs="黑体"/>
          <w:b w:val="1"/>
          <w:color w:val="1a4f8b"/>
          <w:sz w:val="36"/>
        </w:rPr>
        <w:t>第四章 典型案例</w:t>
      </w:r>
      <w:bookmarkEnd w:id="13"/>
    </w:p>
    <w:p w14:paraId="22F8A105">
      <w:pPr>
        <w:pStyle w:val="000006"/>
        <w:keepNext w:val="1"/>
        <w:keepLines w:val="1"/>
        <w:spacing w:before="288" w:beforeAutospacing="1" w:after="120" w:afterAutospacing="1" w:line="408"/>
        <w:outlineLvl w:val="1"/>
        <w:rPr>
          <w:color w:val="000000"/>
          <w:sz w:val="32"/>
          <w:szCs w:val="32"/>
        </w:rPr>
      </w:pPr>
      <w:bookmarkStart w:id="14" w:name="sec-4-1"/>
      <w:r>
        <w:rPr>
          <w:rFonts w:hint="eastAsia" w:ascii="黑体" w:hAnsi="黑体" w:eastAsia="黑体" w:cs="黑体"/>
          <w:b w:val="1"/>
          <w:color w:val="000000"/>
          <w:sz w:val="28"/>
        </w:rPr>
        <w:t>4.1 司法判例：合同条款与履约偏差类争议</w:t>
      </w:r>
      <w:bookmarkEnd w:id="14"/>
    </w:p>
    <w:p w14:paraId="00DA2B73">
      <w:pPr>
        <w:spacing w:before="240" w:after="168" w:line="408"/>
        <w:rPr>
          <w:color w:val="1a4f8b"/>
        </w:rPr>
      </w:pPr>
      <w:r>
        <w:rPr>
          <w:rFonts w:hint="eastAsia" w:ascii="黑体" w:hAnsi="黑体" w:eastAsia="黑体" w:cs="黑体"/>
          <w:b w:val="1"/>
          <w:color w:val="1a4f8b"/>
          <w:sz w:val="24"/>
        </w:rPr>
        <w:t>案例一："景仁"轮航次租船合同运费争议案（2004，中国海事仲裁委员会）</w:t>
      </w:r>
    </w:p>
    <w:p w14:paraId="73CF41DD">
      <w:pPr>
        <w:spacing w:after="168" w:line="408"/>
        <w:ind w:firstLine="480"/>
        <w:rPr>
          <w:color w:val="000000"/>
        </w:rPr>
      </w:pPr>
      <w:r>
        <w:rPr>
          <w:rFonts w:hint="eastAsia" w:ascii="宋体" w:hAnsi="宋体" w:eastAsia="宋体" w:cs="宋体"/>
          <w:color w:val="000000"/>
          <w:sz w:val="24"/>
        </w:rPr>
        <w:t>申请人与被申请人签订连续五个航次的煤炭运输合同，约定运费按 138 元/吨结算，但明确"如该航次装货量不足 13,700 吨（甲方原因），则按 13,700 吨计收运费"。第一航次实际装载 10,883 吨，被申请人仅按实际载货量付费。申请人主张因被申请人装货工艺与积载因数原因导致装载不足，应按约定最低运量计费，请求补足少装 2,817 吨的运费约 38.87 万元。本案争议焦点在于对"最低运量保底条款"的适用理解，凸显了费率/计费条款在合同中的严谨约定对于避免争议的重要性。</w:t>
      </w:r>
    </w:p>
    <w:p w14:paraId="77B3AB6F">
      <w:pPr>
        <w:spacing w:before="240" w:after="168" w:line="408"/>
        <w:rPr>
          <w:color w:val="1a4f8b"/>
        </w:rPr>
      </w:pPr>
      <w:r>
        <w:rPr>
          <w:rFonts w:hint="eastAsia" w:ascii="黑体" w:hAnsi="黑体" w:eastAsia="黑体" w:cs="黑体"/>
          <w:b w:val="1"/>
          <w:color w:val="1a4f8b"/>
          <w:sz w:val="24"/>
        </w:rPr>
        <w:t>案例二：全包价到港被扣货加钱案（广州海事法院，广东省高级人民法院二审维持）</w:t>
      </w:r>
    </w:p>
    <w:p w14:paraId="79E6C8CC">
      <w:pPr>
        <w:spacing w:after="168" w:line="408"/>
        <w:ind w:firstLine="480"/>
        <w:rPr>
          <w:color w:val="000000"/>
        </w:rPr>
      </w:pPr>
      <w:r>
        <w:rPr>
          <w:rFonts w:hint="eastAsia" w:ascii="宋体" w:hAnsi="宋体" w:eastAsia="宋体" w:cs="宋体"/>
          <w:color w:val="000000"/>
          <w:sz w:val="24"/>
        </w:rPr>
        <w:t>艾某公司委托浦某公司运输货物，事先明确约定"全包价"（每个 20 英尺普柜 4,200 美元）。货到目的港后，浦某公司单方发来新账单，要求额外支付近 2,000 美元"实报实销"目的港费用，并以扣留艾某公司其他货物相要挟。艾某公司为免滞箱费被迫分两次支付 16,906 美元。事后起诉主张胁迫，要求返还。法院认为：双方事先约定"全包价"明确，浦某公司事后单方主张额外费用，既无法证明必要性、合理性，又以扣货相威胁，构成胁迫；艾某公司虽已付款但事先已作异议，付款非真实意愿，故判决返还相应款项及利息。该案明确：约定"全包价"后，货代以"本地费用实报实销系行业惯例"为由单方加收且扣货胁迫的，委托人有权拒绝并可要求返还。</w:t>
      </w:r>
    </w:p>
    <w:p w14:paraId="10BBE4ED">
      <w:pPr>
        <w:spacing w:before="240" w:after="168" w:line="408"/>
        <w:rPr>
          <w:color w:val="1a4f8b"/>
        </w:rPr>
      </w:pPr>
      <w:r>
        <w:rPr>
          <w:rFonts w:hint="eastAsia" w:ascii="黑体" w:hAnsi="黑体" w:eastAsia="黑体" w:cs="黑体"/>
          <w:b w:val="1"/>
          <w:color w:val="1a4f8b"/>
          <w:sz w:val="24"/>
        </w:rPr>
        <w:t>案例三：海上货运代理合同纠纷（2022 沪民终 368 号）</w:t>
      </w:r>
    </w:p>
    <w:p w14:paraId="21BD4B80">
      <w:pPr>
        <w:spacing w:after="168" w:line="408"/>
        <w:ind w:firstLine="480"/>
        <w:rPr>
          <w:color w:val="000000"/>
        </w:rPr>
      </w:pPr>
      <w:r>
        <w:rPr>
          <w:rFonts w:hint="eastAsia" w:ascii="宋体" w:hAnsi="宋体" w:eastAsia="宋体" w:cs="宋体"/>
          <w:color w:val="000000"/>
          <w:sz w:val="24"/>
        </w:rPr>
        <w:t>祥喆公司与美硕公司未签订书面货运代理合同，双方就"以口头方式协商确定的费用结算标准"各执一词，且均缺乏明确直接证据。法院依据《合同法》第六十一条，按"交易习惯"认定结算标准：从双方无争议业务的收费标准、同期市场询价等佐证，判定祥喆公司主张的运费标准具有优势证据支持，由美硕公司承担举证不能的不利后果。该案提示：费用结算应尽量书面化、标准化，口头约定在争议中将面临举证困难。</w:t>
      </w:r>
    </w:p>
    <w:p w14:paraId="1AF08052">
      <w:pPr>
        <w:spacing w:before="240" w:after="168" w:line="408"/>
        <w:rPr>
          <w:color w:val="1a4f8b"/>
        </w:rPr>
      </w:pPr>
      <w:r>
        <w:rPr>
          <w:rFonts w:hint="eastAsia" w:ascii="黑体" w:hAnsi="黑体" w:eastAsia="黑体" w:cs="黑体"/>
          <w:b w:val="1"/>
          <w:color w:val="1a4f8b"/>
          <w:sz w:val="24"/>
        </w:rPr>
        <w:t>案例四：涉防疫物资跨境物流纠纷（广州海事法院，二级法院联合调解）</w:t>
      </w:r>
    </w:p>
    <w:p w14:paraId="62BB4C9A">
      <w:pPr>
        <w:spacing w:after="168" w:line="408"/>
        <w:ind w:firstLine="480"/>
        <w:rPr>
          <w:color w:val="000000"/>
        </w:rPr>
      </w:pPr>
      <w:r>
        <w:rPr>
          <w:rFonts w:hint="eastAsia" w:ascii="宋体" w:hAnsi="宋体" w:eastAsia="宋体" w:cs="宋体"/>
          <w:color w:val="000000"/>
          <w:sz w:val="24"/>
        </w:rPr>
        <w:t>A 公司与 B 公司均为跨境电商物流企业，B 委托 A 运输防疫物资（陆运+海运+空运）。因 2020 年疫情期间韩国至美国空运费用暴涨，双方就运费（按实重还是按体积重计费）产生争议，且未签订书面合同。一审以 A 公司举证不能驳回诉讼请求；二审经联合调解，双方最终以 B 公司支付 90 万元和解结案。该案反映：跨境物流中"实重 vs 体积重"计费口径争议突出，且书面合同缺失会显著放大举证与败诉风险。</w:t>
      </w:r>
    </w:p>
    <w:p w14:paraId="02AC2382">
      <w:pPr>
        <w:pStyle w:val="000006"/>
        <w:keepNext w:val="1"/>
        <w:keepLines w:val="1"/>
        <w:spacing w:before="288" w:beforeAutospacing="1" w:after="120" w:afterAutospacing="1" w:line="408"/>
        <w:outlineLvl w:val="1"/>
        <w:rPr>
          <w:color w:val="000000"/>
          <w:sz w:val="32"/>
          <w:szCs w:val="32"/>
        </w:rPr>
      </w:pPr>
      <w:bookmarkStart w:id="15" w:name="sec-4-2"/>
      <w:r>
        <w:rPr>
          <w:rFonts w:hint="eastAsia" w:ascii="黑体" w:hAnsi="黑体" w:eastAsia="黑体" w:cs="黑体"/>
          <w:b w:val="1"/>
          <w:color w:val="000000"/>
          <w:sz w:val="28"/>
        </w:rPr>
        <w:t>4.2 实务纠纷：平台与转包类争议</w:t>
      </w:r>
      <w:bookmarkEnd w:id="15"/>
    </w:p>
    <w:p w14:paraId="4BEEF1C1">
      <w:pPr>
        <w:spacing w:before="240" w:after="168" w:line="408"/>
        <w:rPr>
          <w:color w:val="1a4f8b"/>
        </w:rPr>
      </w:pPr>
      <w:r>
        <w:rPr>
          <w:rFonts w:hint="eastAsia" w:ascii="黑体" w:hAnsi="黑体" w:eastAsia="黑体" w:cs="黑体"/>
          <w:b w:val="1"/>
          <w:color w:val="1a4f8b"/>
          <w:sz w:val="24"/>
        </w:rPr>
        <w:t>案例五：2800 元托运货物中途加价至 7400 元（人民日报/红星新闻报道）</w:t>
      </w:r>
    </w:p>
    <w:p w14:paraId="1831ABAF">
      <w:pPr>
        <w:spacing w:after="168" w:line="408"/>
        <w:ind w:firstLine="480"/>
        <w:rPr>
          <w:color w:val="000000"/>
        </w:rPr>
      </w:pPr>
      <w:r>
        <w:rPr>
          <w:rFonts w:hint="eastAsia" w:ascii="宋体" w:hAnsi="宋体" w:eastAsia="宋体" w:cs="宋体"/>
          <w:color w:val="000000"/>
          <w:sz w:val="24"/>
        </w:rPr>
        <w:t>四川凉山郑女士通过货运代理公司托运 5 吨货物（成都至越西县），事先多次协商价格为 2,800 元。货物装车运输后，物流公司以"体积过大按体积收费"为由中途强行加价至 7,400 元。经查，货物经成都代理—成都物流公司—越西物流公司层层转包，终端价为 3,200 元，转包链条层层扒皮导致终端公司恶意加价。最终经协商以 4,200 元提货。该案例揭示：网络平台"低价接单、层层转包、终端加价"的套路，以及异地维权困难，是货运消费争议的突出形态。</w:t>
      </w:r>
    </w:p>
    <w:p w14:paraId="6CB51424">
      <w:pPr>
        <w:pStyle w:val="000006"/>
        <w:keepNext w:val="1"/>
        <w:keepLines w:val="1"/>
        <w:spacing w:before="288" w:beforeAutospacing="1" w:after="120" w:afterAutospacing="1" w:line="408"/>
        <w:outlineLvl w:val="1"/>
        <w:rPr>
          <w:color w:val="000000"/>
          <w:sz w:val="32"/>
          <w:szCs w:val="32"/>
        </w:rPr>
      </w:pPr>
      <w:bookmarkStart w:id="16" w:name="sec-4-3"/>
      <w:r>
        <w:rPr>
          <w:rFonts w:hint="eastAsia" w:ascii="黑体" w:hAnsi="黑体" w:eastAsia="黑体" w:cs="黑体"/>
          <w:b w:val="1"/>
          <w:color w:val="000000"/>
          <w:sz w:val="28"/>
        </w:rPr>
        <w:t>4.3 案例共性启示</w:t>
      </w:r>
      <w:bookmarkEnd w:id="16"/>
    </w:p>
    <w:p w14:paraId="5977C03B">
      <w:pPr>
        <w:spacing w:after="168" w:line="408"/>
        <w:ind w:firstLine="480"/>
        <w:rPr>
          <w:color w:val="000000"/>
        </w:rPr>
      </w:pPr>
      <w:r>
        <w:rPr>
          <w:rFonts w:hint="eastAsia" w:ascii="宋体" w:hAnsi="宋体" w:eastAsia="宋体" w:cs="宋体"/>
          <w:color w:val="000000"/>
          <w:sz w:val="24"/>
        </w:rPr>
        <w:t>上述案例的共性在于：</w:t>
      </w:r>
      <w:r>
        <w:rPr>
          <w:rFonts w:hint="eastAsia" w:ascii="宋体" w:hAnsi="宋体" w:eastAsia="宋体" w:cs="宋体"/>
          <w:b w:val="1"/>
          <w:color w:val="000000"/>
          <w:sz w:val="24"/>
        </w:rPr>
        <w:t>计费条款约定不清、书面化不足、凭证/证据缺失、履约信息不透明</w:t>
      </w:r>
      <w:r>
        <w:rPr>
          <w:rFonts w:hint="eastAsia" w:ascii="宋体" w:hAnsi="宋体" w:eastAsia="宋体" w:cs="宋体"/>
          <w:color w:val="000000"/>
          <w:sz w:val="24"/>
        </w:rPr>
        <w:t>，是争议产生的根源；而</w:t>
      </w:r>
      <w:r>
        <w:rPr>
          <w:rFonts w:hint="eastAsia" w:ascii="宋体" w:hAnsi="宋体" w:eastAsia="宋体" w:cs="宋体"/>
          <w:b w:val="1"/>
          <w:color w:val="000000"/>
          <w:sz w:val="24"/>
        </w:rPr>
        <w:t>书面合同标准化、计费规则前置约定、全程数据留痕、电子凭证确权</w:t>
      </w:r>
      <w:r>
        <w:rPr>
          <w:rFonts w:hint="eastAsia" w:ascii="宋体" w:hAnsi="宋体" w:eastAsia="宋体" w:cs="宋体"/>
          <w:color w:val="000000"/>
          <w:sz w:val="24"/>
        </w:rPr>
        <w:t>，则是减少乃至预防争议的关键。</w:t>
      </w:r>
    </w:p>
    <w:p w14:paraId="1B598B5C">
      <w:pPr>
        <w:pStyle w:val="000005"/>
        <w:keepNext w:val="1"/>
        <w:keepLines w:val="1"/>
        <w:pBdr>
          <w:bottom w:val="single" w:color="1a4f8b" w:sz="12" w:space="3"/>
        </w:pBdr>
        <w:spacing w:before="384" w:beforeAutospacing="1" w:after="168" w:afterAutospacing="1" w:line="408"/>
        <w:outlineLvl w:val="0"/>
        <w:rPr>
          <w:color w:val="1a4f8b"/>
          <w:kern w:val="44"/>
          <w:sz w:val="44"/>
          <w:szCs w:val="44"/>
        </w:rPr>
      </w:pPr>
      <w:bookmarkStart w:id="17" w:name="chapter-5"/>
      <w:r>
        <w:rPr>
          <w:rFonts w:hint="eastAsia" w:ascii="黑体" w:hAnsi="黑体" w:eastAsia="黑体" w:cs="黑体"/>
          <w:b w:val="1"/>
          <w:color w:val="1a4f8b"/>
          <w:sz w:val="36"/>
        </w:rPr>
        <w:t>第五章 数字化对账解决方案与标杆实践</w:t>
      </w:r>
      <w:bookmarkEnd w:id="17"/>
    </w:p>
    <w:p w14:paraId="779CC313">
      <w:pPr>
        <w:pStyle w:val="000006"/>
        <w:keepNext w:val="1"/>
        <w:keepLines w:val="1"/>
        <w:spacing w:before="288" w:beforeAutospacing="1" w:after="120" w:afterAutospacing="1" w:line="408"/>
        <w:outlineLvl w:val="1"/>
        <w:rPr>
          <w:color w:val="000000"/>
          <w:sz w:val="32"/>
          <w:szCs w:val="32"/>
        </w:rPr>
      </w:pPr>
      <w:bookmarkStart w:id="18" w:name="sec-5-1"/>
      <w:r>
        <w:rPr>
          <w:rFonts w:hint="eastAsia" w:ascii="黑体" w:hAnsi="黑体" w:eastAsia="黑体" w:cs="黑体"/>
          <w:b w:val="1"/>
          <w:color w:val="000000"/>
          <w:sz w:val="28"/>
        </w:rPr>
        <w:t>5.1 头部企业的降本增效实践</w:t>
      </w:r>
      <w:bookmarkEnd w:id="18"/>
    </w:p>
    <w:tbl>
      <w:tblPr>
        <w:tblW w:w="8306" w:type="dxa"/>
        <w:shd w:color="000000"/>
        <w:tblLayout w:type="autofit"/>
        <w:tblCellMar/>
      </w:tblPr>
      <w:tblGrid>
        <w:gridCol w:w="2768"/>
        <w:gridCol w:w="2768"/>
        <w:gridCol w:w="2768"/>
      </w:tblGrid>
      <w:tr>
        <w:trPr>
          <w:tblHeader w:val="1"/>
        </w:trPr>
        <w:tc>
          <w:tcPr>
            <w:tcW w:w="2768" w:type="dxa"/>
            <w:tcBorders>
              <w:top w:val="single" w:color="bbbbbb" w:sz="6"/>
              <w:left w:val="single" w:color="bbbbbb" w:sz="6"/>
              <w:bottom w:val="single" w:color="bbbbbb" w:sz="6"/>
              <w:right w:val="single" w:color="bbbbbb" w:sz="6"/>
            </w:tcBorders>
            <w:shd w:val="clear" w:fill="eef3fa"/>
            <w:tcMar>
              <w:top w:w="120" w:type="dxa"/>
              <w:left w:w="168" w:type="dxa"/>
              <w:bottom w:w="120" w:type="dxa"/>
              <w:right w:w="168" w:type="dxa"/>
            </w:tcMar>
            <w:vAlign w:val="top"/>
          </w:tcPr>
          <w:p w14:paraId="442BC4B7">
            <w:pPr>
              <w:jc w:val="left"/>
              <w:rPr>
                <w:b w:val="1"/>
                <w:bCs w:val="1"/>
                <w:color w:val="000000"/>
              </w:rPr>
            </w:pPr>
            <w:r>
              <w:rPr>
                <w:rFonts w:hint="eastAsia" w:ascii="黑体" w:hAnsi="黑体" w:eastAsia="黑体" w:cs="黑体"/>
                <w:b w:val="1"/>
                <w:color w:val="000000"/>
                <w:sz w:val="22"/>
              </w:rPr>
              <w:t>企业/方案</w:t>
            </w:r>
          </w:p>
        </w:tc>
        <w:tc>
          <w:tcPr>
            <w:tcW w:w="2768" w:type="dxa"/>
            <w:tcBorders>
              <w:top w:val="single" w:color="bbbbbb" w:sz="6"/>
              <w:left w:val="single" w:color="bbbbbb" w:sz="6"/>
              <w:bottom w:val="single" w:color="bbbbbb" w:sz="6"/>
              <w:right w:val="single" w:color="bbbbbb" w:sz="6"/>
            </w:tcBorders>
            <w:shd w:val="clear" w:fill="eef3fa"/>
            <w:tcMar>
              <w:top w:w="120" w:type="dxa"/>
              <w:left w:w="168" w:type="dxa"/>
              <w:bottom w:w="120" w:type="dxa"/>
              <w:right w:w="168" w:type="dxa"/>
            </w:tcMar>
            <w:vAlign w:val="top"/>
          </w:tcPr>
          <w:p w14:paraId="0EE36881">
            <w:pPr>
              <w:jc w:val="left"/>
              <w:rPr>
                <w:b w:val="1"/>
                <w:bCs w:val="1"/>
                <w:color w:val="000000"/>
              </w:rPr>
            </w:pPr>
            <w:r>
              <w:rPr>
                <w:rFonts w:hint="eastAsia" w:ascii="黑体" w:hAnsi="黑体" w:eastAsia="黑体" w:cs="黑体"/>
                <w:b w:val="1"/>
                <w:color w:val="000000"/>
                <w:sz w:val="22"/>
              </w:rPr>
              <w:t>关键做法</w:t>
            </w:r>
          </w:p>
        </w:tc>
        <w:tc>
          <w:tcPr>
            <w:tcW w:w="2768" w:type="dxa"/>
            <w:tcBorders>
              <w:top w:val="single" w:color="bbbbbb" w:sz="6"/>
              <w:left w:val="single" w:color="bbbbbb" w:sz="6"/>
              <w:bottom w:val="single" w:color="bbbbbb" w:sz="6"/>
              <w:right w:val="single" w:color="bbbbbb" w:sz="6"/>
            </w:tcBorders>
            <w:shd w:val="clear" w:fill="eef3fa"/>
            <w:tcMar>
              <w:top w:w="120" w:type="dxa"/>
              <w:left w:w="168" w:type="dxa"/>
              <w:bottom w:w="120" w:type="dxa"/>
              <w:right w:w="168" w:type="dxa"/>
            </w:tcMar>
            <w:vAlign w:val="top"/>
          </w:tcPr>
          <w:p w14:paraId="75DB2A9B">
            <w:pPr>
              <w:jc w:val="left"/>
              <w:rPr>
                <w:b w:val="1"/>
                <w:bCs w:val="1"/>
                <w:color w:val="000000"/>
              </w:rPr>
            </w:pPr>
            <w:r>
              <w:rPr>
                <w:rFonts w:hint="eastAsia" w:ascii="黑体" w:hAnsi="黑体" w:eastAsia="黑体" w:cs="黑体"/>
                <w:b w:val="1"/>
                <w:color w:val="000000"/>
                <w:sz w:val="22"/>
              </w:rPr>
              <w:t>成效</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59BE0565">
            <w:pPr>
              <w:jc w:val="left"/>
              <w:rPr>
                <w:color w:val="000000"/>
              </w:rPr>
            </w:pPr>
            <w:r>
              <w:rPr>
                <w:rFonts w:hint="eastAsia" w:ascii="宋体" w:hAnsi="宋体" w:eastAsia="宋体" w:cs="宋体"/>
                <w:color w:val="000000"/>
                <w:sz w:val="22"/>
              </w:rPr>
              <w:t>通天晓 BMS（大型综合物流集团）</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628201FF">
            <w:pPr>
              <w:jc w:val="left"/>
              <w:rPr>
                <w:color w:val="000000"/>
              </w:rPr>
            </w:pPr>
            <w:r>
              <w:rPr>
                <w:rFonts w:hint="eastAsia" w:ascii="宋体" w:hAnsi="宋体" w:eastAsia="宋体" w:cs="宋体"/>
                <w:color w:val="000000"/>
                <w:sz w:val="22"/>
              </w:rPr>
              <w:t>作业事件驱动引擎即时算费，全面接管 600+ 份异构合同费率；每月 1 日凌晨自动生成全量货主账单并线上确权</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224723D1">
            <w:pPr>
              <w:jc w:val="left"/>
              <w:rPr>
                <w:color w:val="000000"/>
              </w:rPr>
            </w:pPr>
            <w:r>
              <w:rPr>
                <w:rFonts w:hint="eastAsia" w:ascii="宋体" w:hAnsi="宋体" w:eastAsia="宋体" w:cs="宋体"/>
                <w:color w:val="000000"/>
                <w:sz w:val="22"/>
              </w:rPr>
              <w:t>月度对账结算周期由 30 天压缩至 2 天，财务结算人效提升 3 倍</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23DE9535">
            <w:pPr>
              <w:jc w:val="left"/>
              <w:rPr>
                <w:color w:val="000000"/>
              </w:rPr>
            </w:pPr>
            <w:r>
              <w:rPr>
                <w:rFonts w:hint="eastAsia" w:ascii="宋体" w:hAnsi="宋体" w:eastAsia="宋体" w:cs="宋体"/>
                <w:color w:val="000000"/>
                <w:sz w:val="22"/>
              </w:rPr>
              <w:t>大道成 TMS（快消品企业）</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307450F8">
            <w:pPr>
              <w:jc w:val="left"/>
              <w:rPr>
                <w:color w:val="000000"/>
              </w:rPr>
            </w:pPr>
            <w:r>
              <w:rPr>
                <w:rFonts w:hint="eastAsia" w:ascii="宋体" w:hAnsi="宋体" w:eastAsia="宋体" w:cs="宋体"/>
                <w:color w:val="000000"/>
                <w:sz w:val="22"/>
              </w:rPr>
              <w:t>智能数据抓取、56 条多维计费规则引擎、可视化争议看板</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4326A2AB">
            <w:pPr>
              <w:jc w:val="left"/>
              <w:rPr>
                <w:color w:val="000000"/>
              </w:rPr>
            </w:pPr>
            <w:r>
              <w:rPr>
                <w:rFonts w:hint="eastAsia" w:ascii="宋体" w:hAnsi="宋体" w:eastAsia="宋体" w:cs="宋体"/>
                <w:color w:val="000000"/>
                <w:sz w:val="22"/>
              </w:rPr>
              <w:t>财务对账人力由 5 人降至 1 人，准确率 82%→99.6%，月度对账 15 天→3 天，年追回运费差异 37 万元</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01F8EB12">
            <w:pPr>
              <w:jc w:val="left"/>
              <w:rPr>
                <w:color w:val="000000"/>
              </w:rPr>
            </w:pPr>
            <w:r>
              <w:rPr>
                <w:rFonts w:hint="eastAsia" w:ascii="宋体" w:hAnsi="宋体" w:eastAsia="宋体" w:cs="宋体"/>
                <w:color w:val="000000"/>
                <w:sz w:val="22"/>
              </w:rPr>
              <w:t>唯智 TMS（广东邦普循环科技）</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3C6CA9AF">
            <w:pPr>
              <w:jc w:val="left"/>
              <w:rPr>
                <w:color w:val="000000"/>
              </w:rPr>
            </w:pPr>
            <w:r>
              <w:rPr>
                <w:rFonts w:hint="eastAsia" w:ascii="宋体" w:hAnsi="宋体" w:eastAsia="宋体" w:cs="宋体"/>
                <w:color w:val="000000"/>
                <w:sz w:val="22"/>
              </w:rPr>
              <w:t>电子签收+电子回单、计费规则引擎自动生成电子对账单、在线确认后回传 SAP</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61D7D6C4">
            <w:pPr>
              <w:jc w:val="left"/>
              <w:rPr>
                <w:color w:val="000000"/>
              </w:rPr>
            </w:pPr>
            <w:r>
              <w:rPr>
                <w:rFonts w:hint="eastAsia" w:ascii="宋体" w:hAnsi="宋体" w:eastAsia="宋体" w:cs="宋体"/>
                <w:color w:val="000000"/>
                <w:sz w:val="22"/>
              </w:rPr>
              <w:t>对账效率提升 70% 以上</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3FFD9F3F">
            <w:pPr>
              <w:jc w:val="left"/>
              <w:rPr>
                <w:color w:val="000000"/>
              </w:rPr>
            </w:pPr>
            <w:r>
              <w:rPr>
                <w:rFonts w:hint="eastAsia" w:ascii="宋体" w:hAnsi="宋体" w:eastAsia="宋体" w:cs="宋体"/>
                <w:color w:val="000000"/>
                <w:sz w:val="22"/>
              </w:rPr>
              <w:t>科箭/斯凯奇/特步 计费规则引擎</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226AE82F">
            <w:pPr>
              <w:jc w:val="left"/>
              <w:rPr>
                <w:color w:val="000000"/>
              </w:rPr>
            </w:pPr>
            <w:r>
              <w:rPr>
                <w:rFonts w:hint="eastAsia" w:ascii="宋体" w:hAnsi="宋体" w:eastAsia="宋体" w:cs="宋体"/>
                <w:color w:val="000000"/>
                <w:sz w:val="22"/>
              </w:rPr>
              <w:t>一客一策：按箱/件/品项、SKU、体积、重量、时效配置数百项规则</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721053C2">
            <w:pPr>
              <w:jc w:val="left"/>
              <w:rPr>
                <w:color w:val="000000"/>
              </w:rPr>
            </w:pPr>
            <w:r>
              <w:rPr>
                <w:rFonts w:hint="eastAsia" w:ascii="宋体" w:hAnsi="宋体" w:eastAsia="宋体" w:cs="宋体"/>
                <w:color w:val="000000"/>
                <w:sz w:val="22"/>
              </w:rPr>
              <w:t>结算效率提升 60% 以上，对账人工投入下降超六成</w:t>
            </w:r>
          </w:p>
        </w:tc>
      </w:tr>
      <w:tr>
        <w:trPr/>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4DF070A6">
            <w:pPr>
              <w:jc w:val="left"/>
              <w:rPr>
                <w:color w:val="000000"/>
              </w:rPr>
            </w:pPr>
            <w:r>
              <w:rPr>
                <w:rFonts w:hint="eastAsia" w:ascii="宋体" w:hAnsi="宋体" w:eastAsia="宋体" w:cs="宋体"/>
                <w:color w:val="000000"/>
                <w:sz w:val="22"/>
              </w:rPr>
              <w:t>九原物流园（煤炭外运，300 台车）</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704B38B6">
            <w:pPr>
              <w:jc w:val="left"/>
              <w:rPr>
                <w:color w:val="000000"/>
              </w:rPr>
            </w:pPr>
            <w:r>
              <w:rPr>
                <w:rFonts w:hint="eastAsia" w:ascii="宋体" w:hAnsi="宋体" w:eastAsia="宋体" w:cs="宋体"/>
                <w:color w:val="000000"/>
                <w:sz w:val="22"/>
              </w:rPr>
              <w:t>规则引擎固化运价与扣罚规则，OCR 磅单识别，北斗 GPS 对接</w:t>
            </w:r>
          </w:p>
        </w:tc>
        <w:tc>
          <w:tcPr>
            <w:tcW w:w="2768" w:type="dxa"/>
            <w:tcBorders>
              <w:top w:val="single" w:color="bbbbbb" w:sz="6"/>
              <w:left w:val="single" w:color="bbbbbb" w:sz="6"/>
              <w:bottom w:val="single" w:color="bbbbbb" w:sz="6"/>
              <w:right w:val="single" w:color="bbbbbb" w:sz="6"/>
            </w:tcBorders>
            <w:tcMar>
              <w:top w:w="120" w:type="dxa"/>
              <w:left w:w="168" w:type="dxa"/>
              <w:bottom w:w="120" w:type="dxa"/>
              <w:right w:w="168" w:type="dxa"/>
            </w:tcMar>
            <w:vAlign w:val="top"/>
          </w:tcPr>
          <w:p w14:paraId="0766D04D">
            <w:pPr>
              <w:jc w:val="left"/>
              <w:rPr>
                <w:color w:val="000000"/>
              </w:rPr>
            </w:pPr>
            <w:r>
              <w:rPr>
                <w:rFonts w:hint="eastAsia" w:ascii="宋体" w:hAnsi="宋体" w:eastAsia="宋体" w:cs="宋体"/>
                <w:color w:val="000000"/>
                <w:sz w:val="22"/>
              </w:rPr>
              <w:t>月底差异率从"说不清"压至 0.5% 以内</w:t>
            </w:r>
          </w:p>
        </w:tc>
      </w:tr>
    </w:tbl>
    <w:p w14:paraId="09CF4431">
      <w:pPr>
        <w:pStyle w:val="000006"/>
        <w:keepNext w:val="1"/>
        <w:keepLines w:val="1"/>
        <w:spacing w:before="288" w:beforeAutospacing="1" w:after="120" w:afterAutospacing="1" w:line="408"/>
        <w:outlineLvl w:val="1"/>
        <w:rPr>
          <w:color w:val="000000"/>
          <w:sz w:val="32"/>
          <w:szCs w:val="32"/>
        </w:rPr>
      </w:pPr>
      <w:bookmarkStart w:id="19" w:name="sec-5-2"/>
      <w:r>
        <w:rPr>
          <w:rFonts w:hint="eastAsia" w:ascii="黑体" w:hAnsi="黑体" w:eastAsia="黑体" w:cs="黑体"/>
          <w:b w:val="1"/>
          <w:color w:val="000000"/>
          <w:sz w:val="28"/>
        </w:rPr>
        <w:t>5.2 系统能力的共性特征</w:t>
      </w:r>
      <w:bookmarkEnd w:id="19"/>
    </w:p>
    <w:p w14:paraId="712B7401">
      <w:pPr>
        <w:spacing w:after="168" w:line="408"/>
        <w:ind w:firstLine="480"/>
        <w:rPr>
          <w:color w:val="000000"/>
        </w:rPr>
      </w:pPr>
      <w:r>
        <w:rPr>
          <w:rFonts w:hint="eastAsia" w:ascii="宋体" w:hAnsi="宋体" w:eastAsia="宋体" w:cs="宋体"/>
          <w:color w:val="000000"/>
          <w:sz w:val="24"/>
        </w:rPr>
        <w:t>归纳上述实践，成熟的费对账与计费争议治理系统普遍具备以下能力：</w:t>
      </w:r>
    </w:p>
    <w:p w14:paraId="77D90FB9">
      <w:pPr>
        <w:numPr>
          <w:ilvl w:val="0"/>
          <w:numId w:val="4"/>
        </w:numPr>
        <w:spacing w:before="96" w:after="84" w:line="408"/>
        <w:ind w:left="96" w:right="96"/>
        <w:rPr>
          <w:color w:val="000000"/>
        </w:rPr>
      </w:pPr>
      <w:r>
        <w:rPr>
          <w:rFonts w:hint="eastAsia" w:ascii="宋体" w:hAnsi="宋体" w:eastAsia="宋体" w:cs="宋体"/>
          <w:b w:val="1"/>
          <w:color w:val="000000"/>
          <w:sz w:val="24"/>
        </w:rPr>
        <w:t>计费规则结构化与可配置</w:t>
      </w:r>
      <w:r>
        <w:rPr>
          <w:rFonts w:hint="eastAsia" w:ascii="宋体" w:hAnsi="宋体" w:eastAsia="宋体" w:cs="宋体"/>
          <w:color w:val="000000"/>
          <w:sz w:val="24"/>
        </w:rPr>
        <w:t>：把合同费率转化为系统规则，支持阶梯、保底、封顶、附加费、条件折扣等多模型，且可由业务人员自行维护，无需改代码。</w:t>
      </w:r>
    </w:p>
    <w:p w14:paraId="40790B19">
      <w:pPr>
        <w:numPr>
          <w:ilvl w:val="0"/>
          <w:numId w:val="4"/>
        </w:numPr>
        <w:spacing w:before="96" w:after="84" w:line="408"/>
        <w:ind w:left="96" w:right="96"/>
        <w:rPr>
          <w:color w:val="000000"/>
        </w:rPr>
      </w:pPr>
      <w:r>
        <w:rPr>
          <w:rFonts w:hint="eastAsia" w:ascii="宋体" w:hAnsi="宋体" w:eastAsia="宋体" w:cs="宋体"/>
          <w:b w:val="1"/>
          <w:color w:val="000000"/>
          <w:sz w:val="24"/>
        </w:rPr>
        <w:t>作业数据自动采集与留痕</w:t>
      </w:r>
      <w:r>
        <w:rPr>
          <w:rFonts w:hint="eastAsia" w:ascii="宋体" w:hAnsi="宋体" w:eastAsia="宋体" w:cs="宋体"/>
          <w:color w:val="000000"/>
          <w:sz w:val="24"/>
        </w:rPr>
        <w:t>：通过 GPS/北斗、电子围栏、电子回单、OCR 磅单、WMS 扫码等，自动获取里程、时长、重量、体积等事实依据，使每一笔费用可追溯至作业单据。</w:t>
      </w:r>
    </w:p>
    <w:p w14:paraId="3826C440">
      <w:pPr>
        <w:numPr>
          <w:ilvl w:val="0"/>
          <w:numId w:val="4"/>
        </w:numPr>
        <w:spacing w:before="96" w:after="84" w:line="408"/>
        <w:ind w:left="96" w:right="96"/>
        <w:rPr>
          <w:color w:val="000000"/>
        </w:rPr>
      </w:pPr>
      <w:r>
        <w:rPr>
          <w:rFonts w:hint="eastAsia" w:ascii="宋体" w:hAnsi="宋体" w:eastAsia="宋体" w:cs="宋体"/>
          <w:b w:val="1"/>
          <w:color w:val="000000"/>
          <w:sz w:val="24"/>
        </w:rPr>
        <w:t>自动对账与异常预警</w:t>
      </w:r>
      <w:r>
        <w:rPr>
          <w:rFonts w:hint="eastAsia" w:ascii="宋体" w:hAnsi="宋体" w:eastAsia="宋体" w:cs="宋体"/>
          <w:color w:val="000000"/>
          <w:sz w:val="24"/>
        </w:rPr>
        <w:t>：按规则引擎生成理论账单，与承运商/货主账单比对，自动识别超收、漏收、单价偏离等异常并触发复核。</w:t>
      </w:r>
    </w:p>
    <w:p w14:paraId="63EB481A">
      <w:pPr>
        <w:numPr>
          <w:ilvl w:val="0"/>
          <w:numId w:val="4"/>
        </w:numPr>
        <w:spacing w:before="96" w:after="84" w:line="408"/>
        <w:ind w:left="96" w:right="96"/>
        <w:rPr>
          <w:color w:val="000000"/>
        </w:rPr>
      </w:pPr>
      <w:r>
        <w:rPr>
          <w:rFonts w:hint="eastAsia" w:ascii="宋体" w:hAnsi="宋体" w:eastAsia="宋体" w:cs="宋体"/>
          <w:b w:val="1"/>
          <w:color w:val="000000"/>
          <w:sz w:val="24"/>
        </w:rPr>
        <w:t>可视化争议处理</w:t>
      </w:r>
      <w:r>
        <w:rPr>
          <w:rFonts w:hint="eastAsia" w:ascii="宋体" w:hAnsi="宋体" w:eastAsia="宋体" w:cs="宋体"/>
          <w:color w:val="000000"/>
          <w:sz w:val="24"/>
        </w:rPr>
        <w:t>：争议看板自动生成差异明细与原始凭证，将争议从"扯皮"变为"查证"，缩短处理时效。</w:t>
      </w:r>
    </w:p>
    <w:p w14:paraId="48E6595A">
      <w:pPr>
        <w:numPr>
          <w:ilvl w:val="0"/>
          <w:numId w:val="4"/>
        </w:numPr>
        <w:spacing w:before="96" w:after="84" w:line="408"/>
        <w:ind w:left="96" w:right="96"/>
        <w:rPr>
          <w:color w:val="000000"/>
        </w:rPr>
      </w:pPr>
      <w:r>
        <w:rPr>
          <w:rFonts w:hint="eastAsia" w:ascii="宋体" w:hAnsi="宋体" w:eastAsia="宋体" w:cs="宋体"/>
          <w:b w:val="1"/>
          <w:color w:val="000000"/>
          <w:sz w:val="24"/>
        </w:rPr>
        <w:t>业财集成与在线确权</w:t>
      </w:r>
      <w:r>
        <w:rPr>
          <w:rFonts w:hint="eastAsia" w:ascii="宋体" w:hAnsi="宋体" w:eastAsia="宋体" w:cs="宋体"/>
          <w:color w:val="000000"/>
          <w:sz w:val="24"/>
        </w:rPr>
        <w:t>：对账结果自动回传 ERP/财务，货主/承运商在线查阅明细并一键确权，形成闭环。</w:t>
      </w:r>
    </w:p>
    <w:p w14:paraId="3F824787">
      <w:pPr>
        <w:pStyle w:val="000005"/>
        <w:keepNext w:val="1"/>
        <w:keepLines w:val="1"/>
        <w:pBdr>
          <w:bottom w:val="single" w:color="1a4f8b" w:sz="12" w:space="3"/>
        </w:pBdr>
        <w:spacing w:before="384" w:beforeAutospacing="1" w:after="168" w:afterAutospacing="1" w:line="408"/>
        <w:outlineLvl w:val="0"/>
        <w:rPr>
          <w:color w:val="1a4f8b"/>
          <w:kern w:val="44"/>
          <w:sz w:val="44"/>
          <w:szCs w:val="44"/>
        </w:rPr>
      </w:pPr>
      <w:bookmarkStart w:id="20" w:name="chapter-6"/>
      <w:r>
        <w:rPr>
          <w:rFonts w:hint="eastAsia" w:ascii="黑体" w:hAnsi="黑体" w:eastAsia="黑体" w:cs="黑体"/>
          <w:b w:val="1"/>
          <w:color w:val="1a4f8b"/>
          <w:sz w:val="36"/>
        </w:rPr>
        <w:t>第六章 对"费对账与计费争议"项目的启示与建议</w:t>
      </w:r>
      <w:bookmarkEnd w:id="20"/>
    </w:p>
    <w:p w14:paraId="5FE3B6EF">
      <w:pPr>
        <w:pStyle w:val="000006"/>
        <w:keepNext w:val="1"/>
        <w:keepLines w:val="1"/>
        <w:spacing w:before="288" w:beforeAutospacing="1" w:after="120" w:afterAutospacing="1" w:line="408"/>
        <w:outlineLvl w:val="1"/>
        <w:rPr>
          <w:color w:val="000000"/>
          <w:sz w:val="32"/>
          <w:szCs w:val="32"/>
        </w:rPr>
      </w:pPr>
      <w:bookmarkStart w:id="21" w:name="sec-6-1"/>
      <w:r>
        <w:rPr>
          <w:rFonts w:hint="eastAsia" w:ascii="黑体" w:hAnsi="黑体" w:eastAsia="黑体" w:cs="黑体"/>
          <w:b w:val="1"/>
          <w:color w:val="000000"/>
          <w:sz w:val="28"/>
        </w:rPr>
        <w:t>6.1 以"标准化计费规则"为底座</w:t>
      </w:r>
      <w:bookmarkEnd w:id="21"/>
    </w:p>
    <w:p w14:paraId="46F0190E">
      <w:pPr>
        <w:numPr>
          <w:ilvl w:val="0"/>
          <w:numId w:val="1"/>
        </w:numPr>
        <w:spacing w:before="96" w:after="84" w:line="408"/>
        <w:ind w:left="96" w:right="96"/>
        <w:rPr>
          <w:color w:val="000000"/>
        </w:rPr>
      </w:pPr>
      <w:r>
        <w:rPr>
          <w:rFonts w:hint="eastAsia" w:ascii="宋体" w:hAnsi="宋体" w:eastAsia="宋体" w:cs="宋体"/>
          <w:color w:val="000000"/>
          <w:sz w:val="24"/>
        </w:rPr>
        <w:t>建立统一的费率/计费规则模型，将线路、车型、重量、体积、里程、时段、托盘、频次、阶梯量、附加费、税率、保底/封顶等维度结构化、可配置。</w:t>
      </w:r>
    </w:p>
    <w:p w14:paraId="40CF2652">
      <w:pPr>
        <w:numPr>
          <w:ilvl w:val="0"/>
          <w:numId w:val="1"/>
        </w:numPr>
        <w:spacing w:before="96" w:after="84" w:line="408"/>
        <w:ind w:left="96" w:right="96"/>
        <w:rPr>
          <w:color w:val="000000"/>
        </w:rPr>
      </w:pPr>
      <w:r>
        <w:rPr>
          <w:rFonts w:hint="eastAsia" w:ascii="宋体" w:hAnsi="宋体" w:eastAsia="宋体" w:cs="宋体"/>
          <w:color w:val="000000"/>
          <w:sz w:val="24"/>
        </w:rPr>
        <w:t>支持"一客一策""一合同一规则"，并提供合同生命周期预警（到期前自动提醒，防范"无合同裸跑计费"坏账风险）。</w:t>
      </w:r>
    </w:p>
    <w:p w14:paraId="3D0E5813">
      <w:pPr>
        <w:pStyle w:val="000006"/>
        <w:keepNext w:val="1"/>
        <w:keepLines w:val="1"/>
        <w:spacing w:before="288" w:beforeAutospacing="1" w:after="120" w:afterAutospacing="1" w:line="408"/>
        <w:outlineLvl w:val="1"/>
        <w:rPr>
          <w:color w:val="000000"/>
          <w:sz w:val="32"/>
          <w:szCs w:val="32"/>
        </w:rPr>
      </w:pPr>
      <w:bookmarkStart w:id="22" w:name="sec-6-2"/>
      <w:r>
        <w:rPr>
          <w:rFonts w:hint="eastAsia" w:ascii="黑体" w:hAnsi="黑体" w:eastAsia="黑体" w:cs="黑体"/>
          <w:b w:val="1"/>
          <w:color w:val="000000"/>
          <w:sz w:val="28"/>
        </w:rPr>
        <w:t>6.2 以"数据透明与全程留痕"破争议</w:t>
      </w:r>
      <w:bookmarkEnd w:id="22"/>
    </w:p>
    <w:p w14:paraId="15900CDF">
      <w:pPr>
        <w:numPr>
          <w:ilvl w:val="0"/>
          <w:numId w:val="1"/>
        </w:numPr>
        <w:spacing w:before="96" w:after="84" w:line="408"/>
        <w:ind w:left="96" w:right="96"/>
        <w:rPr>
          <w:color w:val="000000"/>
        </w:rPr>
      </w:pPr>
      <w:r>
        <w:rPr>
          <w:rFonts w:hint="eastAsia" w:ascii="宋体" w:hAnsi="宋体" w:eastAsia="宋体" w:cs="宋体"/>
          <w:color w:val="000000"/>
          <w:sz w:val="24"/>
        </w:rPr>
        <w:t>对接 GPS/北斗、WMS、电子回单、OCR 磅单等多源数据，确保里程、时长、重量、体积等计费事实可追溯、可查证。</w:t>
      </w:r>
    </w:p>
    <w:p w14:paraId="6E90FF8B">
      <w:pPr>
        <w:numPr>
          <w:ilvl w:val="0"/>
          <w:numId w:val="1"/>
        </w:numPr>
        <w:spacing w:before="96" w:after="84" w:line="408"/>
        <w:ind w:left="96" w:right="96"/>
        <w:rPr>
          <w:color w:val="000000"/>
        </w:rPr>
      </w:pPr>
      <w:r>
        <w:rPr>
          <w:rFonts w:hint="eastAsia" w:ascii="宋体" w:hAnsi="宋体" w:eastAsia="宋体" w:cs="宋体"/>
          <w:color w:val="000000"/>
          <w:sz w:val="24"/>
        </w:rPr>
        <w:t>对绕路、异常停留、改单等争议高发事件，要求司机/现场实时上报并留痕，作为结算依据。</w:t>
      </w:r>
    </w:p>
    <w:p w14:paraId="4BBADCD9">
      <w:pPr>
        <w:pStyle w:val="000006"/>
        <w:keepNext w:val="1"/>
        <w:keepLines w:val="1"/>
        <w:spacing w:before="288" w:beforeAutospacing="1" w:after="120" w:afterAutospacing="1" w:line="408"/>
        <w:outlineLvl w:val="1"/>
        <w:rPr>
          <w:color w:val="000000"/>
          <w:sz w:val="32"/>
          <w:szCs w:val="32"/>
        </w:rPr>
      </w:pPr>
      <w:bookmarkStart w:id="23" w:name="sec-6-3"/>
      <w:r>
        <w:rPr>
          <w:rFonts w:hint="eastAsia" w:ascii="黑体" w:hAnsi="黑体" w:eastAsia="黑体" w:cs="黑体"/>
          <w:b w:val="1"/>
          <w:color w:val="000000"/>
          <w:sz w:val="28"/>
        </w:rPr>
        <w:t>6.3 以"自动对账与异常预警"提效率</w:t>
      </w:r>
      <w:bookmarkEnd w:id="23"/>
    </w:p>
    <w:p w14:paraId="6EDE4309">
      <w:pPr>
        <w:numPr>
          <w:ilvl w:val="0"/>
          <w:numId w:val="1"/>
        </w:numPr>
        <w:spacing w:before="96" w:after="84" w:line="408"/>
        <w:ind w:left="96" w:right="96"/>
        <w:rPr>
          <w:color w:val="000000"/>
        </w:rPr>
      </w:pPr>
      <w:r>
        <w:rPr>
          <w:rFonts w:hint="eastAsia" w:ascii="宋体" w:hAnsi="宋体" w:eastAsia="宋体" w:cs="宋体"/>
          <w:color w:val="000000"/>
          <w:sz w:val="24"/>
        </w:rPr>
        <w:t>系统按规则引擎生成理论账单，与对方账单自动比对，识别超收、漏收、单价偏离等 7 类以上常见问题并预警。</w:t>
      </w:r>
    </w:p>
    <w:p w14:paraId="68A91C5F">
      <w:pPr>
        <w:numPr>
          <w:ilvl w:val="0"/>
          <w:numId w:val="1"/>
        </w:numPr>
        <w:spacing w:before="96" w:after="84" w:line="408"/>
        <w:ind w:left="96" w:right="96"/>
        <w:rPr>
          <w:color w:val="000000"/>
        </w:rPr>
      </w:pPr>
      <w:r>
        <w:rPr>
          <w:rFonts w:hint="eastAsia" w:ascii="宋体" w:hAnsi="宋体" w:eastAsia="宋体" w:cs="宋体"/>
          <w:color w:val="000000"/>
          <w:sz w:val="24"/>
        </w:rPr>
        <w:t>设定对账匹配率（≥95%）、争议发生率（压降 70%+）、应收账款周转天数（缩短 15 天+）等可量化目标。</w:t>
      </w:r>
    </w:p>
    <w:p w14:paraId="44103E69">
      <w:pPr>
        <w:pStyle w:val="000006"/>
        <w:keepNext w:val="1"/>
        <w:keepLines w:val="1"/>
        <w:spacing w:before="288" w:beforeAutospacing="1" w:after="120" w:afterAutospacing="1" w:line="408"/>
        <w:outlineLvl w:val="1"/>
        <w:rPr>
          <w:color w:val="000000"/>
          <w:sz w:val="32"/>
          <w:szCs w:val="32"/>
        </w:rPr>
      </w:pPr>
      <w:bookmarkStart w:id="24" w:name="sec-6-4"/>
      <w:r>
        <w:rPr>
          <w:rFonts w:hint="eastAsia" w:ascii="黑体" w:hAnsi="黑体" w:eastAsia="黑体" w:cs="黑体"/>
          <w:b w:val="1"/>
          <w:color w:val="000000"/>
          <w:sz w:val="28"/>
        </w:rPr>
        <w:t>6.4 以"可视化争议处理机制"降摩擦</w:t>
      </w:r>
      <w:bookmarkEnd w:id="24"/>
    </w:p>
    <w:p w14:paraId="5654835F">
      <w:pPr>
        <w:numPr>
          <w:ilvl w:val="0"/>
          <w:numId w:val="1"/>
        </w:numPr>
        <w:spacing w:before="96" w:after="84" w:line="408"/>
        <w:ind w:left="96" w:right="96"/>
        <w:rPr>
          <w:color w:val="000000"/>
        </w:rPr>
      </w:pPr>
      <w:r>
        <w:rPr>
          <w:rFonts w:hint="eastAsia" w:ascii="宋体" w:hAnsi="宋体" w:eastAsia="宋体" w:cs="宋体"/>
          <w:color w:val="000000"/>
          <w:sz w:val="24"/>
        </w:rPr>
        <w:t>提供争议看板，自动生成差异明细、原始凭证与处理建议，将处理时效从"天级"压缩到"小时级"。</w:t>
      </w:r>
    </w:p>
    <w:p w14:paraId="666F6AF8">
      <w:pPr>
        <w:numPr>
          <w:ilvl w:val="0"/>
          <w:numId w:val="1"/>
        </w:numPr>
        <w:spacing w:before="96" w:after="84" w:line="408"/>
        <w:ind w:left="96" w:right="96"/>
        <w:rPr>
          <w:color w:val="000000"/>
        </w:rPr>
      </w:pPr>
      <w:r>
        <w:rPr>
          <w:rFonts w:hint="eastAsia" w:ascii="宋体" w:hAnsi="宋体" w:eastAsia="宋体" w:cs="宋体"/>
          <w:color w:val="000000"/>
          <w:sz w:val="24"/>
        </w:rPr>
        <w:t>内置争议分类与责任判定逻辑，辅助双方快速定位分歧点。</w:t>
      </w:r>
    </w:p>
    <w:p w14:paraId="4B0EE1F3">
      <w:pPr>
        <w:pStyle w:val="000006"/>
        <w:keepNext w:val="1"/>
        <w:keepLines w:val="1"/>
        <w:spacing w:before="288" w:beforeAutospacing="1" w:after="120" w:afterAutospacing="1" w:line="408"/>
        <w:outlineLvl w:val="1"/>
        <w:rPr>
          <w:color w:val="000000"/>
          <w:sz w:val="32"/>
          <w:szCs w:val="32"/>
        </w:rPr>
      </w:pPr>
      <w:bookmarkStart w:id="25" w:name="sec-6-5"/>
      <w:r>
        <w:rPr>
          <w:rFonts w:hint="eastAsia" w:ascii="黑体" w:hAnsi="黑体" w:eastAsia="黑体" w:cs="黑体"/>
          <w:b w:val="1"/>
          <w:color w:val="000000"/>
          <w:sz w:val="28"/>
        </w:rPr>
        <w:t>6.5 以"合规与风控"守底线</w:t>
      </w:r>
      <w:bookmarkEnd w:id="25"/>
    </w:p>
    <w:p w14:paraId="01494648">
      <w:pPr>
        <w:numPr>
          <w:ilvl w:val="0"/>
          <w:numId w:val="1"/>
        </w:numPr>
        <w:spacing w:before="96" w:after="84" w:line="408"/>
        <w:ind w:left="96" w:right="96"/>
        <w:rPr>
          <w:color w:val="000000"/>
        </w:rPr>
      </w:pPr>
      <w:r>
        <w:rPr>
          <w:rFonts w:hint="eastAsia" w:ascii="宋体" w:hAnsi="宋体" w:eastAsia="宋体" w:cs="宋体"/>
          <w:color w:val="000000"/>
          <w:sz w:val="24"/>
        </w:rPr>
        <w:t>对接监管合规要求：运价透明、抽佣比例公开、过低运价阻断、预付运费等（参照交通运输部平台收费治理与平台自律公约）。</w:t>
      </w:r>
    </w:p>
    <w:p w14:paraId="2F829A11">
      <w:pPr>
        <w:numPr>
          <w:ilvl w:val="0"/>
          <w:numId w:val="1"/>
        </w:numPr>
        <w:spacing w:before="96" w:after="84" w:line="408"/>
        <w:ind w:left="96" w:right="96"/>
        <w:rPr>
          <w:color w:val="000000"/>
        </w:rPr>
      </w:pPr>
      <w:r>
        <w:rPr>
          <w:rFonts w:hint="eastAsia" w:ascii="宋体" w:hAnsi="宋体" w:eastAsia="宋体" w:cs="宋体"/>
          <w:color w:val="000000"/>
          <w:sz w:val="24"/>
        </w:rPr>
        <w:t>强化书面化、电子合同与电子凭证，降低举证不能风险（呼应司法案例中"口头约定各执一词"的教训）。</w:t>
      </w:r>
    </w:p>
    <w:p w14:paraId="7083AD2A">
      <w:pPr>
        <w:pStyle w:val="000006"/>
        <w:keepNext w:val="1"/>
        <w:keepLines w:val="1"/>
        <w:spacing w:before="288" w:beforeAutospacing="1" w:after="120" w:afterAutospacing="1" w:line="408"/>
        <w:outlineLvl w:val="1"/>
        <w:rPr>
          <w:color w:val="000000"/>
          <w:sz w:val="32"/>
          <w:szCs w:val="32"/>
        </w:rPr>
      </w:pPr>
      <w:bookmarkStart w:id="26" w:name="sec-6-6"/>
      <w:r>
        <w:rPr>
          <w:rFonts w:hint="eastAsia" w:ascii="黑体" w:hAnsi="黑体" w:eastAsia="黑体" w:cs="黑体"/>
          <w:b w:val="1"/>
          <w:color w:val="000000"/>
          <w:sz w:val="28"/>
        </w:rPr>
        <w:t>6.6 分阶段落地路径建议</w:t>
      </w:r>
      <w:bookmarkEnd w:id="26"/>
    </w:p>
    <w:p w14:paraId="1D54AF93">
      <w:pPr>
        <w:numPr>
          <w:ilvl w:val="0"/>
          <w:numId w:val="5"/>
        </w:numPr>
        <w:spacing w:before="96" w:after="84" w:line="408"/>
        <w:ind w:left="96" w:right="96"/>
        <w:rPr>
          <w:color w:val="000000"/>
        </w:rPr>
      </w:pPr>
      <w:r>
        <w:rPr>
          <w:rFonts w:hint="eastAsia" w:ascii="宋体" w:hAnsi="宋体" w:eastAsia="宋体" w:cs="宋体"/>
          <w:b w:val="1"/>
          <w:color w:val="000000"/>
          <w:sz w:val="24"/>
        </w:rPr>
        <w:t>准备阶段（约 2 个月）</w:t>
      </w:r>
      <w:r>
        <w:rPr>
          <w:rFonts w:hint="eastAsia" w:ascii="宋体" w:hAnsi="宋体" w:eastAsia="宋体" w:cs="宋体"/>
          <w:color w:val="000000"/>
          <w:sz w:val="24"/>
        </w:rPr>
        <w:t>：历史数据清洗 + 计费规则梳理（法务深度参与）+ 财务技能转型培训。</w:t>
      </w:r>
    </w:p>
    <w:p w14:paraId="2B2CCCF9">
      <w:pPr>
        <w:numPr>
          <w:ilvl w:val="0"/>
          <w:numId w:val="5"/>
        </w:numPr>
        <w:spacing w:before="96" w:after="84" w:line="408"/>
        <w:ind w:left="96" w:right="96"/>
        <w:rPr>
          <w:color w:val="000000"/>
        </w:rPr>
      </w:pPr>
      <w:r>
        <w:rPr>
          <w:rFonts w:hint="eastAsia" w:ascii="宋体" w:hAnsi="宋体" w:eastAsia="宋体" w:cs="宋体"/>
          <w:b w:val="1"/>
          <w:color w:val="000000"/>
          <w:sz w:val="24"/>
        </w:rPr>
        <w:t>试点阶段</w:t>
      </w:r>
      <w:r>
        <w:rPr>
          <w:rFonts w:hint="eastAsia" w:ascii="宋体" w:hAnsi="宋体" w:eastAsia="宋体" w:cs="宋体"/>
          <w:color w:val="000000"/>
          <w:sz w:val="24"/>
        </w:rPr>
        <w:t>：选取单业务线/单区域，跑通"规则配置→自动计费→自动对账→在线确权→结算同步"闭环。</w:t>
      </w:r>
    </w:p>
    <w:p w14:paraId="1295C1FD">
      <w:pPr>
        <w:numPr>
          <w:ilvl w:val="0"/>
          <w:numId w:val="5"/>
        </w:numPr>
        <w:spacing w:before="96" w:after="84" w:line="408"/>
        <w:ind w:left="96" w:right="96"/>
        <w:rPr>
          <w:color w:val="000000"/>
        </w:rPr>
      </w:pPr>
      <w:r>
        <w:rPr>
          <w:rFonts w:hint="eastAsia" w:ascii="宋体" w:hAnsi="宋体" w:eastAsia="宋体" w:cs="宋体"/>
          <w:b w:val="1"/>
          <w:color w:val="000000"/>
          <w:sz w:val="24"/>
        </w:rPr>
        <w:t>推广阶段</w:t>
      </w:r>
      <w:r>
        <w:rPr>
          <w:rFonts w:hint="eastAsia" w:ascii="宋体" w:hAnsi="宋体" w:eastAsia="宋体" w:cs="宋体"/>
          <w:color w:val="000000"/>
          <w:sz w:val="24"/>
        </w:rPr>
        <w:t>：复制至仓储计费、跨境计费等多场景，叠加 BI 数据驾驶舱，向成本分析与供应链协同演进。</w:t>
      </w:r>
    </w:p>
    <w:p w14:paraId="476D4012">
      <w:pPr>
        <w:pStyle w:val="000005"/>
        <w:keepNext w:val="1"/>
        <w:keepLines w:val="1"/>
        <w:pBdr>
          <w:bottom w:val="single" w:color="1a4f8b" w:sz="12" w:space="3"/>
        </w:pBdr>
        <w:spacing w:before="384" w:beforeAutospacing="1" w:after="168" w:afterAutospacing="1" w:line="408"/>
        <w:outlineLvl w:val="0"/>
        <w:rPr>
          <w:color w:val="1a4f8b"/>
          <w:kern w:val="44"/>
          <w:sz w:val="44"/>
          <w:szCs w:val="44"/>
        </w:rPr>
      </w:pPr>
      <w:bookmarkStart w:id="27" w:name="chapter-7"/>
      <w:r>
        <w:rPr>
          <w:rFonts w:hint="eastAsia" w:ascii="黑体" w:hAnsi="黑体" w:eastAsia="黑体" w:cs="黑体"/>
          <w:b w:val="1"/>
          <w:color w:val="1a4f8b"/>
          <w:sz w:val="36"/>
        </w:rPr>
        <w:t>第七章 结论</w:t>
      </w:r>
      <w:bookmarkEnd w:id="27"/>
    </w:p>
    <w:p w14:paraId="25E21562">
      <w:pPr>
        <w:spacing w:after="168" w:line="408"/>
        <w:ind w:firstLine="480"/>
        <w:rPr>
          <w:color w:val="000000"/>
        </w:rPr>
      </w:pPr>
      <w:r>
        <w:rPr>
          <w:rFonts w:hint="eastAsia" w:ascii="宋体" w:hAnsi="宋体" w:eastAsia="宋体" w:cs="宋体"/>
          <w:color w:val="000000"/>
          <w:sz w:val="24"/>
        </w:rPr>
        <w:t>费对账与计费争议是物流行业规模扩张与复杂度上升背景下的系统性痛点，其根源在于计费规则不透明、数据不互通、凭证不留存、履约不确定。监管层正通过降本行动方案与平台收费治理推动行业规范，技术与实践层面则已验证：以结构化计费规则引擎 + 自动化对账 + 电子凭证 + 业财一体为核心的数字化方案，可将对账周期从月级压缩至天级、将财务人效提升数倍、将争议发生率大幅压降。</w:t>
      </w:r>
    </w:p>
    <w:p w14:paraId="586927DF">
      <w:pPr>
        <w:spacing w:after="168" w:line="408"/>
        <w:ind w:firstLine="480"/>
        <w:rPr>
          <w:color w:val="000000"/>
        </w:rPr>
      </w:pPr>
      <w:r>
        <w:rPr>
          <w:rFonts w:hint="eastAsia" w:ascii="宋体" w:hAnsi="宋体" w:eastAsia="宋体" w:cs="宋体"/>
          <w:color w:val="000000"/>
          <w:sz w:val="24"/>
        </w:rPr>
        <w:t>对于正在推进的"费对账与计费争议"项目，建议以"标准化、透明化、自动化、合规化"为主轴，分阶段构建从计费到对账到争议处理到结算的全链路闭环，既解决企业内部的"糊涂账"难题，也为行业级的费用治理与信任建设提供可复制的范本。</w:t>
      </w:r>
    </w:p>
    <w:p w14:paraId="6E5C573A">
      <w:pPr>
        <w:pStyle w:val="000005"/>
        <w:keepNext w:val="1"/>
        <w:keepLines w:val="1"/>
        <w:pBdr>
          <w:bottom w:val="single" w:color="1a4f8b" w:sz="12" w:space="3"/>
        </w:pBdr>
        <w:spacing w:before="384" w:beforeAutospacing="1" w:after="168" w:afterAutospacing="1" w:line="408"/>
        <w:outlineLvl w:val="0"/>
        <w:rPr>
          <w:color w:val="1a4f8b"/>
          <w:kern w:val="44"/>
          <w:sz w:val="44"/>
          <w:szCs w:val="44"/>
        </w:rPr>
      </w:pPr>
      <w:bookmarkStart w:id="28" w:name="chapter-8"/>
      <w:r>
        <w:rPr>
          <w:rFonts w:hint="eastAsia" w:ascii="黑体" w:hAnsi="黑体" w:eastAsia="黑体" w:cs="黑体"/>
          <w:b w:val="1"/>
          <w:color w:val="1a4f8b"/>
          <w:sz w:val="36"/>
        </w:rPr>
        <w:t>参考文献与数据来源</w:t>
      </w:r>
      <w:bookmarkEnd w:id="28"/>
    </w:p>
    <w:p w14:paraId="2F3B5BED">
      <w:pPr>
        <w:numPr>
          <w:ilvl w:val="0"/>
          <w:numId w:val="6"/>
        </w:numPr>
        <w:spacing w:before="96" w:after="84" w:line="408"/>
        <w:ind w:left="96" w:right="96"/>
        <w:rPr>
          <w:color w:val="000000"/>
        </w:rPr>
      </w:pPr>
      <w:r>
        <w:rPr>
          <w:rFonts w:hint="eastAsia" w:ascii="宋体" w:hAnsi="宋体" w:eastAsia="宋体" w:cs="宋体"/>
          <w:color w:val="000000"/>
          <w:sz w:val="24"/>
        </w:rPr>
        <w:t>中国物流与采购联合会、中国政府网：《2024 年全国社会物流总额超 360 万亿元》（2025-02）。</w:t>
      </w:r>
    </w:p>
    <w:p w14:paraId="1D59395A">
      <w:pPr>
        <w:numPr>
          <w:ilvl w:val="0"/>
          <w:numId w:val="6"/>
        </w:numPr>
        <w:spacing w:before="96" w:after="84" w:line="408"/>
        <w:ind w:left="96" w:right="96"/>
        <w:rPr>
          <w:color w:val="000000"/>
        </w:rPr>
      </w:pPr>
      <w:r>
        <w:rPr>
          <w:rFonts w:hint="eastAsia" w:ascii="宋体" w:hAnsi="宋体" w:eastAsia="宋体" w:cs="宋体"/>
          <w:color w:val="000000"/>
          <w:sz w:val="24"/>
        </w:rPr>
        <w:t>百度百科"物流量"词条：社会物流总额与总费用历年数据。</w:t>
      </w:r>
    </w:p>
    <w:p w14:paraId="630D786C">
      <w:pPr>
        <w:numPr>
          <w:ilvl w:val="0"/>
          <w:numId w:val="6"/>
        </w:numPr>
        <w:spacing w:before="96" w:after="84" w:line="408"/>
        <w:ind w:left="96" w:right="96"/>
        <w:rPr>
          <w:color w:val="000000"/>
        </w:rPr>
      </w:pPr>
      <w:r>
        <w:rPr>
          <w:rFonts w:hint="eastAsia" w:ascii="宋体" w:hAnsi="宋体" w:eastAsia="宋体" w:cs="宋体"/>
          <w:color w:val="000000"/>
          <w:sz w:val="24"/>
        </w:rPr>
        <w:t>交通运输部：《加强货车司机合法权益保障专题新闻发布会》（2025-07、2025-12）。</w:t>
      </w:r>
    </w:p>
    <w:p w14:paraId="06FE092B">
      <w:pPr>
        <w:numPr>
          <w:ilvl w:val="0"/>
          <w:numId w:val="6"/>
        </w:numPr>
        <w:spacing w:before="96" w:after="84" w:line="408"/>
        <w:ind w:left="96" w:right="96"/>
        <w:rPr>
          <w:color w:val="000000"/>
        </w:rPr>
      </w:pPr>
      <w:r>
        <w:rPr>
          <w:rFonts w:hint="eastAsia" w:ascii="宋体" w:hAnsi="宋体" w:eastAsia="宋体" w:cs="宋体"/>
          <w:color w:val="000000"/>
          <w:sz w:val="24"/>
        </w:rPr>
        <w:t>江苏省消费者权益保护委员会：网络货运服务平台消费调查通报（2025-12）。</w:t>
      </w:r>
    </w:p>
    <w:p w14:paraId="38498A95">
      <w:pPr>
        <w:numPr>
          <w:ilvl w:val="0"/>
          <w:numId w:val="6"/>
        </w:numPr>
        <w:spacing w:before="96" w:after="84" w:line="408"/>
        <w:ind w:left="96" w:right="96"/>
        <w:rPr>
          <w:color w:val="000000"/>
        </w:rPr>
      </w:pPr>
      <w:r>
        <w:rPr>
          <w:rFonts w:hint="eastAsia" w:ascii="宋体" w:hAnsi="宋体" w:eastAsia="宋体" w:cs="宋体"/>
          <w:color w:val="000000"/>
          <w:sz w:val="24"/>
        </w:rPr>
        <w:t>科箭软件：《运输管理系统的运费结算实操：对账争议的五个高发场景与规避路径》。</w:t>
      </w:r>
    </w:p>
    <w:p w14:paraId="3B02FF39">
      <w:pPr>
        <w:numPr>
          <w:ilvl w:val="0"/>
          <w:numId w:val="6"/>
        </w:numPr>
        <w:spacing w:before="96" w:after="84" w:line="408"/>
        <w:ind w:left="96" w:right="96"/>
        <w:rPr>
          <w:color w:val="000000"/>
        </w:rPr>
      </w:pPr>
      <w:r>
        <w:rPr>
          <w:rFonts w:hint="eastAsia" w:ascii="宋体" w:hAnsi="宋体" w:eastAsia="宋体" w:cs="宋体"/>
          <w:color w:val="000000"/>
          <w:sz w:val="24"/>
        </w:rPr>
        <w:t>超易软件：《物流承运合同怎么管理？运费结算、车次对账数字化方案》。</w:t>
      </w:r>
    </w:p>
    <w:p w14:paraId="13F4C985">
      <w:pPr>
        <w:numPr>
          <w:ilvl w:val="0"/>
          <w:numId w:val="6"/>
        </w:numPr>
        <w:spacing w:before="96" w:after="84" w:line="408"/>
        <w:ind w:left="96" w:right="96"/>
        <w:rPr>
          <w:color w:val="000000"/>
        </w:rPr>
      </w:pPr>
      <w:r>
        <w:rPr>
          <w:rFonts w:hint="eastAsia" w:ascii="宋体" w:hAnsi="宋体" w:eastAsia="宋体" w:cs="宋体"/>
          <w:color w:val="000000"/>
          <w:sz w:val="24"/>
        </w:rPr>
        <w:t>通天晓：《物流应收应付自动核算怎么做——账单对账规则、异常预警与业财集成方案》。</w:t>
      </w:r>
    </w:p>
    <w:p w14:paraId="48EB13CC">
      <w:pPr>
        <w:numPr>
          <w:ilvl w:val="0"/>
          <w:numId w:val="6"/>
        </w:numPr>
        <w:spacing w:before="96" w:after="84" w:line="408"/>
        <w:ind w:left="96" w:right="96"/>
        <w:rPr>
          <w:color w:val="000000"/>
        </w:rPr>
      </w:pPr>
      <w:r>
        <w:rPr>
          <w:rFonts w:hint="eastAsia" w:ascii="宋体" w:hAnsi="宋体" w:eastAsia="宋体" w:cs="宋体"/>
          <w:color w:val="000000"/>
          <w:sz w:val="24"/>
        </w:rPr>
        <w:t>大道成物流：《利用 TMS 实现运输自动化对账——节省 80% 财务人力案例》。</w:t>
      </w:r>
    </w:p>
    <w:p w14:paraId="57AF3C0A">
      <w:pPr>
        <w:numPr>
          <w:ilvl w:val="0"/>
          <w:numId w:val="6"/>
        </w:numPr>
        <w:spacing w:before="96" w:after="84" w:line="408"/>
        <w:ind w:left="96" w:right="96"/>
        <w:rPr>
          <w:color w:val="000000"/>
        </w:rPr>
      </w:pPr>
      <w:r>
        <w:rPr>
          <w:rFonts w:hint="eastAsia" w:ascii="宋体" w:hAnsi="宋体" w:eastAsia="宋体" w:cs="宋体"/>
          <w:color w:val="000000"/>
          <w:sz w:val="24"/>
        </w:rPr>
        <w:t>唯智信息：《看 TMS 如何解绑广东邦普循环科技仓储运输困局》。</w:t>
      </w:r>
    </w:p>
    <w:p w14:paraId="3867428A">
      <w:pPr>
        <w:numPr>
          <w:ilvl w:val="0"/>
          <w:numId w:val="6"/>
        </w:numPr>
        <w:spacing w:before="96" w:after="84" w:line="408"/>
        <w:ind w:left="96" w:right="96"/>
        <w:rPr>
          <w:color w:val="000000"/>
        </w:rPr>
      </w:pPr>
      <w:r>
        <w:rPr>
          <w:rFonts w:hint="eastAsia" w:ascii="宋体" w:hAnsi="宋体" w:eastAsia="宋体" w:cs="宋体"/>
          <w:color w:val="000000"/>
          <w:sz w:val="24"/>
        </w:rPr>
        <w:t>司法判例：中国海事仲裁委员会"景仁"轮案；广州海事法院全包价扣货案（二审广东高院维持）；上海高院（2022）沪民终 368 号；广州海事法院涉防疫物资跨境物流纠纷案。</w:t>
      </w:r>
    </w:p>
    <w:p w14:paraId="7962E175">
      <w:pPr>
        <w:numPr>
          <w:ilvl w:val="0"/>
          <w:numId w:val="6"/>
        </w:numPr>
        <w:spacing w:before="96" w:after="84" w:line="408"/>
        <w:ind w:left="96" w:right="96"/>
        <w:rPr>
          <w:color w:val="000000"/>
        </w:rPr>
      </w:pPr>
      <w:r>
        <w:rPr>
          <w:rFonts w:hint="eastAsia" w:ascii="宋体" w:hAnsi="宋体" w:eastAsia="宋体" w:cs="宋体"/>
          <w:color w:val="000000"/>
          <w:sz w:val="24"/>
        </w:rPr>
        <w:t>人民日报/红星新闻：2800 元托运货物中途加价至 7400 元报道。</w:t>
      </w:r>
    </w:p>
    <w:p w14:paraId="1EAB0C76">
      <w:pPr>
        <w:sectPr>
          <w:footerReference r:id="rId5" w:type="default"/>
          <w:type w:val="nextPage"/>
          <w:pgSz w:w="11906" w:h="16838"/>
          <w:pgMar w:top="1440" w:right="1800" w:bottom="1440" w:left="1800" w:header="851" w:footer="992" w:gutter="0"/>
          <w:pgNumType w:start="1"/>
        </w:sectPr>
      </w:pPr>
    </w:p>
    <w:p w14:paraId="3CD42850"/>
    <w:sectPr>
      <w:footerReference r:id="rId5" w:type="default"/>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72E2EEBF">
    <w:pPr>
      <w:jc w:val="center"/>
    </w:pPr>
    <w:r>
      <w:rPr>
        <w:rFonts w:hint="eastAsia"/>
        <w:color w:val="888888"/>
        <w:sz w:val="18"/>
      </w:rPr>
      <w:t xml:space="preserve">第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页</w:t>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bullet"/>
      <w:lvlText w:val=""/>
      <w:lvlJc w:val="left"/>
      <w:pPr>
        <w:ind w:left="420" w:hanging="420"/>
      </w:pPr>
      <w:rPr>
        <w:rFonts w:hint="default" w:ascii="Wingdings" w:hAnsi="Wingdings"/>
      </w:r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num w:numId="5">
    <w:abstractNumId w:val="4"/>
  </w:num>
  <w:num w:numId="3">
    <w:abstractNumId w:val="2"/>
  </w:num>
  <w:num w:numId="6">
    <w:abstractNumId w:val="1"/>
  </w:num>
  <w:num w:numId="4">
    <w:abstractNumId w:val="0"/>
  </w:num>
  <w:num w:numId="1">
    <w:abstractNumId w:val="3"/>
  </w:num>
  <w:num w:numId="2">
    <w:abstractNumId w:val="5"/>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toc 5" w:uiPriority="39" w:semiHidden="1" w:unhideWhenUsed="1"/>
    <w:lsdException w:name="Strong" w:uiPriority="22" w:qFormat="1"/>
    <w:lsdException w:name="index 4" w:semiHidden="1" w:unhideWhenUsed="1"/>
    <w:lsdException w:name="List Continue 5" w:semiHidden="1" w:unhideWhenUsed="1"/>
    <w:lsdException w:name="List Bullet 2" w:semiHidden="1" w:unhideWhenUsed="1"/>
    <w:lsdException w:name="toc 1" w:uiPriority="39" w:semiHidden="1" w:unhideWhenUsed="1"/>
    <w:lsdException w:name="endnote reference" w:semiHidden="1" w:unhideWhenUsed="1"/>
    <w:lsdException w:name="index heading" w:semiHidden="1" w:unhideWhenUsed="1"/>
    <w:lsdException w:name="toc 8" w:uiPriority="39" w:semiHidden="1" w:unhideWhenUsed="1"/>
    <w:lsdException w:name="page number" w:semiHidden="1" w:unhideWhenUsed="1"/>
    <w:lsdException w:name="List Continue 4" w:semiHidden="1" w:unhideWhenUsed="1"/>
    <w:lsdException w:name="line number" w:semiHidden="1" w:unhideWhenUsed="1"/>
    <w:lsdException w:name="table of authorities" w:semiHidden="1" w:unhideWhenUsed="1"/>
    <w:lsdException w:name="List Bullet 3" w:semiHidden="1" w:unhideWhenUsed="1"/>
    <w:lsdException w:name="heading 2" w:uiPriority="9" w:semiHidden="1" w:unhideWhenUsed="1" w:qFormat="1"/>
    <w:lsdException w:name="List Continue" w:semiHidden="1" w:unhideWhenUsed="1"/>
    <w:lsdException w:name="List 4" w:semiHidden="1" w:unhideWhenUsed="1"/>
    <w:lsdException w:name="index 2" w:semiHidden="1" w:unhideWhenUsed="1"/>
    <w:lsdException w:name="heading 1" w:uiPriority="9" w:qFormat="1"/>
    <w:lsdException w:name="List" w:semiHidden="1" w:unhideWhenUsed="1"/>
    <w:lsdException w:name="index 6" w:semiHidden="1" w:unhideWhenUsed="1"/>
    <w:lsdException w:name="toc 3" w:uiPriority="39" w:semiHidden="1" w:unhideWhenUsed="1"/>
    <w:lsdException w:name="Title" w:uiPriority="10" w:qFormat="1"/>
    <w:lsdException w:name="heading 7" w:uiPriority="9" w:semiHidden="1" w:unhideWhenUsed="1" w:qFormat="1"/>
    <w:lsdException w:name="heading 6" w:uiPriority="9" w:semiHidden="1" w:unhideWhenUsed="1" w:qFormat="1"/>
    <w:lsdException w:name="Closing" w:semiHidden="1" w:unhideWhenUsed="1"/>
    <w:lsdException w:name="index 9" w:semiHidden="1" w:unhideWhenUsed="1"/>
    <w:lsdException w:name="annotation reference" w:semiHidden="1" w:unhideWhenUsed="1"/>
    <w:lsdException w:name="index 3" w:semiHidden="1" w:unhideWhenUsed="1"/>
    <w:lsdException w:name="Body Text First Indent" w:semiHidden="1" w:unhideWhenUsed="1"/>
    <w:lsdException w:name="List Number 5" w:semiHidden="1" w:unhideWhenUsed="1"/>
    <w:lsdException w:name="heading 4" w:uiPriority="9" w:semiHidden="1" w:unhideWhenUsed="1" w:qFormat="1"/>
    <w:lsdException w:name="Date" w:semiHidden="1" w:unhideWhenUsed="1"/>
    <w:lsdException w:name="Normal Indent" w:semiHidden="1" w:unhideWhenUsed="1"/>
    <w:lsdException w:name="Body Text Indent 3" w:semiHidden="1" w:unhideWhenUsed="1"/>
    <w:lsdException w:name="List Continue 2" w:semiHidden="1" w:unhideWhenUsed="1"/>
    <w:lsdException w:name="footnote reference" w:semiHidden="1" w:unhideWhenUsed="1"/>
    <w:lsdException w:name="List Continue 3" w:semiHidden="1" w:unhideWhenUsed="1"/>
    <w:lsdException w:name="heading 9" w:uiPriority="9" w:semiHidden="1" w:unhideWhenUsed="1" w:qFormat="1"/>
    <w:lsdException w:name="Body Text" w:semiHidden="1" w:unhideWhenUsed="1"/>
    <w:lsdException w:name="endnote text" w:semiHidden="1" w:unhideWhenUsed="1"/>
    <w:lsdException w:name="List Bullet" w:semiHidden="1" w:unhideWhenUsed="1"/>
    <w:lsdException w:name="index 1" w:semiHidden="1" w:unhideWhenUsed="1"/>
    <w:lsdException w:name="index 5" w:semiHidden="1" w:unhideWhenUsed="1"/>
    <w:lsdException w:name="Block Text" w:semiHidden="1" w:unhideWhenUsed="1"/>
    <w:lsdException w:name="envelope address" w:semiHidden="1" w:unhideWhenUsed="1"/>
    <w:lsdException w:name="Hyperlink" w:semiHidden="1" w:unhideWhenUsed="1"/>
    <w:lsdException w:name="caption" w:uiPriority="35" w:semiHidden="1" w:unhideWhenUsed="1" w:qFormat="1"/>
    <w:lsdException w:name="table of figures" w:semiHidden="1" w:unhideWhenUsed="1"/>
    <w:lsdException w:name="index 8" w:semiHidden="1" w:unhideWhenUsed="1"/>
    <w:lsdException w:name="List 3" w:semiHidden="1" w:unhideWhenUsed="1"/>
    <w:lsdException w:name="heading 5" w:uiPriority="9" w:semiHidden="1" w:unhideWhenUsed="1" w:qFormat="1"/>
    <w:lsdException w:name="macro" w:semiHidden="1" w:unhideWhenUsed="1"/>
    <w:lsdException w:name="List Number 2" w:semiHidden="1" w:unhideWhenUsed="1"/>
    <w:lsdException w:name="List 2" w:semiHidden="1" w:unhideWhenUsed="1"/>
    <w:lsdException w:name="Salutation" w:semiHidden="1" w:unhideWhenUsed="1"/>
    <w:lsdException w:name="Body Text Indent 2" w:semiHidden="1" w:unhideWhenUsed="1"/>
    <w:lsdException w:name="Message Header" w:semiHidden="1" w:unhideWhenUsed="1"/>
    <w:lsdException w:name="List Bullet 5" w:semiHidden="1" w:unhideWhenUsed="1"/>
    <w:lsdException w:name="FollowedHyperlink" w:semiHidden="1" w:unhideWhenUsed="1"/>
    <w:lsdException w:name="List Number 3" w:semiHidden="1" w:unhideWhenUsed="1"/>
    <w:lsdException w:name="Note Heading" w:semiHidden="1" w:unhideWhenUsed="1"/>
    <w:lsdException w:name="List 5" w:semiHidden="1" w:unhideWhenUsed="1"/>
    <w:lsdException w:name="toc 7" w:uiPriority="39" w:semiHidden="1" w:unhideWhenUsed="1"/>
    <w:lsdException w:name="Subtitle" w:uiPriority="11" w:qFormat="1"/>
    <w:lsdException w:name="List Number 4" w:semiHidden="1" w:unhideWhenUsed="1"/>
    <w:lsdException w:name="toc 2" w:uiPriority="39" w:semiHidden="1" w:unhideWhenUsed="1"/>
    <w:lsdException w:name="List Number" w:semiHidden="1" w:unhideWhenUsed="1"/>
    <w:lsdException w:name="Body Text 3" w:semiHidden="1" w:unhideWhenUsed="1"/>
    <w:lsdException w:name="Default Paragraph Font" w:uiPriority="1" w:semiHidden="1" w:unhideWhenUsed="1"/>
    <w:lsdException w:name="footnote text" w:semiHidden="1" w:unhideWhenUsed="1"/>
    <w:lsdException w:name="annotation text" w:semiHidden="1" w:unhideWhenUsed="1"/>
    <w:lsdException w:name="Normal" w:uiPriority="0" w:qFormat="1"/>
    <w:lsdException w:name="heading 3" w:uiPriority="9" w:semiHidden="1" w:unhideWhenUsed="1" w:qFormat="1"/>
    <w:lsdException w:name="toc 9" w:uiPriority="39" w:semiHidden="1" w:unhideWhenUsed="1"/>
    <w:lsdException w:name="Body Text Indent" w:semiHidden="1" w:unhideWhenUsed="1"/>
    <w:lsdException w:name="Signature" w:semiHidden="1" w:unhideWhenUsed="1"/>
    <w:lsdException w:name="Body Text First Indent 2" w:semiHidden="1" w:unhideWhenUsed="1"/>
    <w:lsdException w:name="Body Text 2" w:semiHidden="1" w:unhideWhenUsed="1"/>
    <w:lsdException w:name="List Bullet 4" w:semiHidden="1" w:unhideWhenUsed="1"/>
    <w:lsdException w:name="toa heading" w:semiHidden="1" w:unhideWhenUsed="1"/>
    <w:lsdException w:name="index 7" w:semiHidden="1" w:unhideWhenUsed="1"/>
    <w:lsdException w:name="envelope return" w:semiHidden="1" w:unhideWhenUsed="1"/>
    <w:lsdException w:name="heading 8" w:uiPriority="9" w:semiHidden="1" w:unhideWhenUsed="1" w:qFormat="1"/>
    <w:lsdException w:name="toc 4" w:uiPriority="39" w:semiHidden="1" w:unhideWhenUsed="1"/>
    <w:lsdException w:name="footer" w:semiHidden="1" w:unhideWhenUsed="1"/>
    <w:lsdException w:name="toc 6" w:uiPriority="39" w:semiHidden="1" w:unhideWhenUsed="1"/>
    <w:lsdException w:name="header" w:semiHidden="1" w:unhideWhenUsed="1"/>
  </w:latentStyles>
  <w:style w:type="paragraph" w:styleId="000005">
    <w:name w:val="heading 1"/>
    <w:basedOn w:val="Normal"/>
    <w:next w:val="Normal"/>
    <w:uiPriority w:val="9"/>
    <w:qFormat w:val="1"/>
    <w:pPr>
      <w:keepNext w:val="1"/>
      <w:keepLines w:val="1"/>
      <w:spacing w:before="240" w:after="120"/>
      <w:outlineLvl w:val="0"/>
    </w:pPr>
    <w:rPr>
      <w:b w:val="1"/>
      <w:sz w:val="32"/>
      <w:szCs w:val="32"/>
    </w:rPr>
  </w:style>
  <w:style w:type="paragraph" w:styleId="000004">
    <w:name w:val="toc 2"/>
    <w:basedOn w:val="Normal"/>
    <w:qFormat w:val="1"/>
    <w:pPr>
      <w:tabs>
        <w:tab w:val="right" w:leader="dot" w:pos="9072"/>
      </w:tabs>
      <w:spacing w:after="60" w:line="360"/>
      <w:ind w:left="420"/>
    </w:pPr>
    <w:rPr>
      <w:rFonts w:ascii="SimSun" w:hAnsi="SimSun" w:eastAsia="SimSun" w:cs="SimSun"/>
      <w:sz w:val="24"/>
      <w:szCs w:val="24"/>
    </w:rPr>
  </w:style>
  <w:style w:type="paragraph" w:styleId="000003">
    <w:name w:val="toc 1"/>
    <w:basedOn w:val="Normal"/>
    <w:qFormat w:val="1"/>
    <w:pPr>
      <w:tabs>
        <w:tab w:val="right" w:leader="dot" w:pos="9072"/>
      </w:tabs>
      <w:spacing w:before="120" w:after="120" w:line="360"/>
    </w:pPr>
    <w:rPr>
      <w:rFonts w:ascii="SimSun" w:hAnsi="SimSun" w:eastAsia="SimSun" w:cs="SimSun"/>
      <w:sz w:val="24"/>
      <w:szCs w:val="24"/>
    </w:rPr>
  </w:style>
  <w:style w:type="paragraph" w:styleId="000006">
    <w:name w:val="heading 2"/>
    <w:basedOn w:val="Normal"/>
    <w:next w:val="Normal"/>
    <w:uiPriority w:val="9"/>
    <w:qFormat w:val="1"/>
    <w:pPr>
      <w:keepNext w:val="1"/>
      <w:keepLines w:val="1"/>
      <w:spacing w:before="200" w:after="100"/>
      <w:outlineLvl w:val="1"/>
    </w:pPr>
    <w:rPr>
      <w:b w:val="1"/>
      <w:sz w:val="26"/>
      <w:szCs w:val="26"/>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footer" Target="footer1.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2026-10-23T09:38:19Z</dcterms:created>
  <dcterms:modified xsi:type="dcterms:W3CDTF">2026-10-23T09:38:19Z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"01a1665e76e37697beb67102e289510d", "ReservedCode1": "", "ContentPropagator": "00119111010856365494821B355", "PropagateID": "01a1665e76e37697beb67102e289510d", "ReservedCode2": ""}}</vt:lpwstr>
  </property>
</Properties>
</file>