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0000001">
      <w:pPr>
        <w:spacing w:before="0" w:after="30" w:line="360"/>
        <w:ind w:left="0" w:right="0"/>
        <w:jc w:val="center"/>
        <w:rPr>
          <w:color w:val="1f2a37"/>
        </w:rPr>
      </w:pPr>
      <w:r>
        <w:rPr>
          <w:rFonts w:hint="eastAsia" w:ascii="Microsoft YaHei" w:hAnsi="Microsoft YaHei" w:eastAsia="Microsoft YaHei" w:cs="Microsoft YaHei"/>
          <w:b w:val="1"/>
          <w:color w:val="1f2a37"/>
          <w:sz w:val="34"/>
        </w:rPr>
        <w:t>运费对账与计费系统 · 需求清单</w:t>
      </w:r>
    </w:p>
    <w:p w14:paraId="00000002">
      <w:pPr>
        <w:spacing w:after="150" w:line="360"/>
        <w:jc w:val="center"/>
        <w:rPr>
          <w:color w:val="5b6b7c"/>
        </w:rPr>
      </w:pPr>
      <w:r>
        <w:rPr>
          <w:rFonts w:hint="eastAsia" w:ascii="Microsoft YaHei" w:hAnsi="Microsoft YaHei" w:eastAsia="Microsoft YaHei" w:cs="Microsoft YaHei"/>
          <w:color w:val="5b6b7c"/>
          <w:sz w:val="17"/>
        </w:rPr>
        <w:t>一页纸版本 v0.1 ｜ 2026-10-30 ｜ 单法人 · 私有化 · 百万级月票量</w:t>
      </w:r>
    </w:p>
    <w:p w14:paraId="00000003">
      <w:pPr>
        <w:pBdr>
          <w:top w:val="single" w:color="cfe0ff" w:sz="6"/>
          <w:left w:val="single" w:color="cfe0ff" w:sz="6"/>
          <w:bottom w:val="single" w:color="cfe0ff" w:sz="6"/>
          <w:right w:val="single" w:color="cfe0ff" w:sz="6"/>
        </w:pBdr>
        <w:shd w:val="clear" w:fill="eef4ff"/>
        <w:spacing w:before="30" w:after="30" w:line="360"/>
        <w:ind w:left="0" w:right="0"/>
        <w:rPr>
          <w:color w:val="1f2a37"/>
        </w:rPr>
      </w:pPr>
      <w:r>
        <w:rPr>
          <w:rFonts w:hint="eastAsia" w:ascii="Microsoft YaHei" w:hAnsi="Microsoft YaHei" w:eastAsia="Microsoft YaHei" w:cs="Microsoft YaHei"/>
          <w:b w:val="1"/>
          <w:color w:val="1f2a37"/>
          <w:sz w:val="18"/>
        </w:rPr>
        <w:t>一句话定位：</w:t>
      </w:r>
      <w:r>
        <w:rPr>
          <w:rFonts w:hint="eastAsia" w:ascii="Microsoft YaHei" w:hAnsi="Microsoft YaHei" w:eastAsia="Microsoft YaHei" w:cs="Microsoft YaHei"/>
          <w:color w:val="1f2a37"/>
          <w:sz w:val="18"/>
        </w:rPr>
        <w:t>以「业务自助配置的计费规则引擎 + 双源证据链 + 自动对账 + 受控争议处理」为核心，把运费对账从人算变成系统算；AI 只做差异解释与依据归集，人工确认后落账。</w:t>
      </w:r>
    </w:p>
    <w:p w14:paraId="00000004">
      <w:pPr>
        <w:pBdr>
          <w:top w:val="single" w:color="cfe0ff" w:sz="6"/>
          <w:left w:val="single" w:color="cfe0ff" w:sz="6"/>
          <w:bottom w:val="single" w:color="cfe0ff" w:sz="6"/>
          <w:right w:val="single" w:color="cfe0ff" w:sz="6"/>
        </w:pBdr>
        <w:shd w:val="clear" w:fill="eef4ff"/>
        <w:spacing w:before="30" w:after="30" w:line="360"/>
        <w:ind w:left="0" w:right="0"/>
        <w:rPr>
          <w:color w:val="1f2a37"/>
        </w:rPr>
      </w:pPr>
      <w:r>
        <w:rPr>
          <w:rFonts w:hint="eastAsia" w:ascii="Microsoft YaHei" w:hAnsi="Microsoft YaHei" w:eastAsia="Microsoft YaHei" w:cs="Microsoft YaHei"/>
          <w:b w:val="1"/>
          <w:color w:val="1f2a37"/>
          <w:sz w:val="18"/>
        </w:rPr>
        <w:t>硬指标：</w:t>
      </w:r>
      <w:r>
        <w:rPr>
          <w:rFonts w:hint="eastAsia" w:ascii="Microsoft YaHei" w:hAnsi="Microsoft YaHei" w:eastAsia="Microsoft YaHei" w:cs="Microsoft YaHei"/>
          <w:color w:val="1f2a37"/>
          <w:sz w:val="18"/>
        </w:rPr>
        <w:t>差异项 1200→400 个/月；对账周期 15→7 天；计费结果可重现率 100%；未授权扣费为零。</w:t>
      </w:r>
    </w:p>
    <w:p w14:paraId="00000005">
      <w:pPr>
        <w:pStyle w:val="000001"/>
        <w:keepNext w:val="1"/>
        <w:keepLines w:val="1"/>
        <w:pBdr>
          <w:left w:val="single" w:color="2f6df0" w:sz="30" w:space="5"/>
        </w:pBdr>
        <w:spacing w:before="135" w:beforeAutospacing="1" w:after="45" w:afterAutospacing="1" w:line="360"/>
        <w:ind w:left="0" w:right="0"/>
        <w:outlineLvl w:val="1"/>
        <w:rPr>
          <w:color w:val="1e3a75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e3a75"/>
          <w:sz w:val="21"/>
        </w:rPr>
        <w:t>一、目标与范围</w:t>
      </w:r>
    </w:p>
    <w:p w14:paraId="00000006">
      <w:pPr>
        <w:spacing w:before="30" w:after="30" w:line="360"/>
        <w:ind w:left="0" w:right="0"/>
        <w:rPr>
          <w:color w:val="1f2a37"/>
        </w:rPr>
      </w:pPr>
      <w:r>
        <w:rPr>
          <w:rFonts w:hint="eastAsia" w:ascii="Microsoft YaHei" w:hAnsi="Microsoft YaHei" w:eastAsia="Microsoft YaHei" w:cs="Microsoft YaHei"/>
          <w:b w:val="1"/>
          <w:color w:val="33475e"/>
          <w:sz w:val="18"/>
        </w:rPr>
        <w:t>范围</w:t>
      </w:r>
      <w:r>
        <w:rPr>
          <w:rFonts w:hint="eastAsia" w:ascii="Microsoft YaHei" w:hAnsi="Microsoft YaHei" w:eastAsia="Microsoft YaHei" w:cs="Microsoft YaHei"/>
          <w:color w:val="1f2a37"/>
          <w:sz w:val="18"/>
        </w:rPr>
        <w:t>运输运费对账（月结 / 票结 / 预付），单法人单组织；覆盖运单归集、重量与合同口径核验、计费、对账、争议、结算全链路。</w:t>
      </w:r>
    </w:p>
    <w:p w14:paraId="00000007">
      <w:pPr>
        <w:spacing w:before="30" w:after="30" w:line="360"/>
        <w:ind w:left="0" w:right="0"/>
        <w:rPr>
          <w:color w:val="1f2a37"/>
        </w:rPr>
      </w:pPr>
      <w:r>
        <w:rPr>
          <w:rFonts w:hint="eastAsia" w:ascii="Microsoft YaHei" w:hAnsi="Microsoft YaHei" w:eastAsia="Microsoft YaHei" w:cs="Microsoft YaHei"/>
          <w:b w:val="1"/>
          <w:color w:val="33475e"/>
          <w:sz w:val="18"/>
        </w:rPr>
        <w:t>不做</w:t>
      </w:r>
      <w:r>
        <w:rPr>
          <w:rFonts w:hint="eastAsia" w:ascii="Microsoft YaHei" w:hAnsi="Microsoft YaHei" w:eastAsia="Microsoft YaHei" w:cs="Microsoft YaHei"/>
          <w:color w:val="1f2a37"/>
          <w:sz w:val="18"/>
        </w:rPr>
        <w:t>不开票与税务（金税/红冲）、不做多租户与多法人、不替代财务总账与资金支付。</w:t>
      </w:r>
    </w:p>
    <w:p w14:paraId="00000008">
      <w:pPr>
        <w:pStyle w:val="000001"/>
        <w:keepNext w:val="1"/>
        <w:keepLines w:val="1"/>
        <w:pBdr>
          <w:left w:val="single" w:color="2f6df0" w:sz="30" w:space="5"/>
        </w:pBdr>
        <w:spacing w:before="135" w:beforeAutospacing="1" w:after="45" w:afterAutospacing="1" w:line="360"/>
        <w:ind w:left="0" w:right="0"/>
        <w:outlineLvl w:val="1"/>
        <w:rPr>
          <w:color w:val="1e3a75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e3a75"/>
          <w:sz w:val="21"/>
        </w:rPr>
        <w:t>二、角色与权限（RBAC，单法人）</w:t>
      </w:r>
    </w:p>
    <w:p w14:paraId="00000009">
      <w:pPr>
        <w:spacing w:before="30" w:after="30" w:line="360"/>
        <w:ind w:left="0" w:right="0"/>
        <w:rPr>
          <w:color w:val="1f2a37"/>
        </w:rPr>
      </w:pPr>
      <w:r>
        <w:rPr>
          <w:rFonts w:hint="eastAsia" w:ascii="Microsoft YaHei" w:hAnsi="Microsoft YaHei" w:eastAsia="Microsoft YaHei" w:cs="Microsoft YaHei"/>
          <w:b w:val="1"/>
          <w:color w:val="33475e"/>
          <w:sz w:val="18"/>
        </w:rPr>
        <w:t>企业用户</w:t>
      </w:r>
      <w:r>
        <w:rPr>
          <w:rFonts w:hint="eastAsia" w:ascii="Microsoft YaHei" w:hAnsi="Microsoft YaHei" w:eastAsia="Microsoft YaHei" w:cs="Microsoft YaHei"/>
          <w:color w:val="1f2a37"/>
          <w:sz w:val="18"/>
        </w:rPr>
        <w:t>运单录入、对账专员、结算经理、合同审计、承运商结算代表；管理员负责规则配置、账期与权限配置、审计日志。</w:t>
      </w:r>
    </w:p>
    <w:p w14:paraId="0000000A">
      <w:pPr>
        <w:spacing w:before="30" w:after="30" w:line="360"/>
        <w:ind w:left="0" w:right="0"/>
        <w:rPr>
          <w:color w:val="1f2a37"/>
        </w:rPr>
      </w:pPr>
      <w:r>
        <w:rPr>
          <w:rFonts w:hint="eastAsia" w:ascii="Microsoft YaHei" w:hAnsi="Microsoft YaHei" w:eastAsia="Microsoft YaHei" w:cs="Microsoft YaHei"/>
          <w:b w:val="1"/>
          <w:color w:val="33475e"/>
          <w:sz w:val="18"/>
        </w:rPr>
        <w:t>审批机制</w:t>
      </w:r>
      <w:r>
        <w:rPr>
          <w:rFonts w:hint="eastAsia" w:ascii="Microsoft YaHei" w:hAnsi="Microsoft YaHei" w:eastAsia="Microsoft YaHei" w:cs="Microsoft YaHei"/>
          <w:color w:val="1f2a37"/>
          <w:sz w:val="18"/>
        </w:rPr>
        <w:t>金额分级审批；合同审计可否决；调账与改单双人复核（四眼原则）。</w:t>
      </w:r>
    </w:p>
    <w:p w14:paraId="0000000B">
      <w:pPr>
        <w:spacing w:before="30" w:after="30" w:line="360"/>
        <w:ind w:left="0" w:right="0"/>
        <w:rPr>
          <w:color w:val="1f2a37"/>
        </w:rPr>
      </w:pPr>
      <w:r>
        <w:rPr>
          <w:rFonts w:hint="eastAsia" w:ascii="Microsoft YaHei" w:hAnsi="Microsoft YaHei" w:eastAsia="Microsoft YaHei" w:cs="Microsoft YaHei"/>
          <w:b w:val="1"/>
          <w:color w:val="33475e"/>
          <w:sz w:val="18"/>
        </w:rPr>
        <w:t>留痕</w:t>
      </w:r>
      <w:r>
        <w:rPr>
          <w:rFonts w:hint="eastAsia" w:ascii="Microsoft YaHei" w:hAnsi="Microsoft YaHei" w:eastAsia="Microsoft YaHei" w:cs="Microsoft YaHei"/>
          <w:color w:val="1f2a37"/>
          <w:sz w:val="18"/>
        </w:rPr>
        <w:t>改单只追加不删除，操作可重建（业务编号 + 资料版本 + 事实引用 + 修改前后 + 签核人）。</w:t>
      </w:r>
    </w:p>
    <w:p w14:paraId="0000000C">
      <w:pPr>
        <w:pStyle w:val="000001"/>
        <w:keepNext w:val="1"/>
        <w:keepLines w:val="1"/>
        <w:pBdr>
          <w:left w:val="single" w:color="2f6df0" w:sz="30" w:space="5"/>
        </w:pBdr>
        <w:spacing w:before="135" w:beforeAutospacing="1" w:after="45" w:afterAutospacing="1" w:line="360"/>
        <w:ind w:left="0" w:right="0"/>
        <w:outlineLvl w:val="1"/>
        <w:rPr>
          <w:color w:val="1e3a75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e3a75"/>
          <w:sz w:val="21"/>
        </w:rPr>
        <w:t>三、核心流程（七步闭环）</w:t>
      </w:r>
    </w:p>
    <w:p w14:paraId="0000000D">
      <w:pPr>
        <w:spacing w:before="30" w:after="30" w:line="360"/>
        <w:ind w:left="0" w:right="0"/>
        <w:rPr>
          <w:color w:val="1f2a37"/>
        </w:rPr>
      </w:pPr>
      <w:r>
        <w:rPr>
          <w:rFonts w:hint="eastAsia" w:ascii="Microsoft YaHei" w:hAnsi="Microsoft YaHei" w:eastAsia="Microsoft YaHei" w:cs="Microsoft YaHei"/>
          <w:b w:val="1"/>
          <w:color w:val="33475e"/>
          <w:sz w:val="18"/>
        </w:rPr>
        <w:t>① 归集</w:t>
      </w:r>
      <w:r>
        <w:rPr>
          <w:rFonts w:hint="eastAsia" w:ascii="Microsoft YaHei" w:hAnsi="Microsoft YaHei" w:eastAsia="Microsoft YaHei" w:cs="Microsoft YaHei"/>
          <w:color w:val="1f2a37"/>
          <w:sz w:val="18"/>
        </w:rPr>
        <w:t>GPS/北斗与电子回单双源采集，自动关联合同价目、称重单、附加费依据。</w:t>
      </w:r>
    </w:p>
    <w:p w14:paraId="0000000E">
      <w:pPr>
        <w:spacing w:before="30" w:after="30" w:line="360"/>
        <w:ind w:left="0" w:right="0"/>
        <w:rPr>
          <w:color w:val="1f2a37"/>
        </w:rPr>
      </w:pPr>
      <w:r>
        <w:rPr>
          <w:rFonts w:hint="eastAsia" w:ascii="Microsoft YaHei" w:hAnsi="Microsoft YaHei" w:eastAsia="Microsoft YaHei" w:cs="Microsoft YaHei"/>
          <w:b w:val="1"/>
          <w:color w:val="33475e"/>
          <w:sz w:val="18"/>
        </w:rPr>
        <w:t>② 计费</w:t>
      </w:r>
      <w:r>
        <w:rPr>
          <w:rFonts w:hint="eastAsia" w:ascii="Microsoft YaHei" w:hAnsi="Microsoft YaHei" w:eastAsia="Microsoft YaHei" w:cs="Microsoft YaHei"/>
          <w:color w:val="1f2a37"/>
          <w:sz w:val="18"/>
        </w:rPr>
        <w:t>业务人员自助配置规则（阶梯/保底/封顶/附加费），账单绑定规则版本快照，支持按生效日期回溯。</w:t>
      </w:r>
    </w:p>
    <w:p w14:paraId="0000000F">
      <w:pPr>
        <w:spacing w:before="30" w:after="30" w:line="360"/>
        <w:ind w:left="0" w:right="0"/>
        <w:rPr>
          <w:color w:val="1f2a37"/>
        </w:rPr>
      </w:pPr>
      <w:r>
        <w:rPr>
          <w:rFonts w:hint="eastAsia" w:ascii="Microsoft YaHei" w:hAnsi="Microsoft YaHei" w:eastAsia="Microsoft YaHei" w:cs="Microsoft YaHei"/>
          <w:b w:val="1"/>
          <w:color w:val="33475e"/>
          <w:sz w:val="18"/>
        </w:rPr>
        <w:t>③ 对账</w:t>
      </w:r>
      <w:r>
        <w:rPr>
          <w:rFonts w:hint="eastAsia" w:ascii="Microsoft YaHei" w:hAnsi="Microsoft YaHei" w:eastAsia="Microsoft YaHei" w:cs="Microsoft YaHei"/>
          <w:color w:val="1f2a37"/>
          <w:sz w:val="18"/>
        </w:rPr>
        <w:t>理论账单 vs 承运商账单自动比对，超收/漏收/单价偏离等异常自动预警。</w:t>
      </w:r>
    </w:p>
    <w:p w14:paraId="00000010">
      <w:pPr>
        <w:spacing w:before="30" w:after="30" w:line="360"/>
        <w:ind w:left="0" w:right="0"/>
        <w:rPr>
          <w:color w:val="1f2a37"/>
        </w:rPr>
      </w:pPr>
      <w:r>
        <w:rPr>
          <w:rFonts w:hint="eastAsia" w:ascii="Microsoft YaHei" w:hAnsi="Microsoft YaHei" w:eastAsia="Microsoft YaHei" w:cs="Microsoft YaHei"/>
          <w:b w:val="1"/>
          <w:color w:val="33475e"/>
          <w:sz w:val="18"/>
        </w:rPr>
        <w:t>④ 争议</w:t>
      </w:r>
      <w:r>
        <w:rPr>
          <w:rFonts w:hint="eastAsia" w:ascii="Microsoft YaHei" w:hAnsi="Microsoft YaHei" w:eastAsia="Microsoft YaHei" w:cs="Microsoft YaHei"/>
          <w:color w:val="1f2a37"/>
          <w:sz w:val="18"/>
        </w:rPr>
        <w:t>AI 生成差异明细 + 原始凭证 + 计算过程，仅作建议；口径冲突附双版本转审计。</w:t>
      </w:r>
    </w:p>
    <w:p w14:paraId="00000011">
      <w:pPr>
        <w:spacing w:before="30" w:after="30" w:line="360"/>
        <w:ind w:left="0" w:right="0"/>
        <w:rPr>
          <w:color w:val="1f2a37"/>
        </w:rPr>
      </w:pPr>
      <w:r>
        <w:rPr>
          <w:rFonts w:hint="eastAsia" w:ascii="Microsoft YaHei" w:hAnsi="Microsoft YaHei" w:eastAsia="Microsoft YaHei" w:cs="Microsoft YaHei"/>
          <w:b w:val="1"/>
          <w:color w:val="33475e"/>
          <w:sz w:val="18"/>
        </w:rPr>
        <w:t>⑤ 审批</w:t>
      </w:r>
      <w:r>
        <w:rPr>
          <w:rFonts w:hint="eastAsia" w:ascii="Microsoft YaHei" w:hAnsi="Microsoft YaHei" w:eastAsia="Microsoft YaHei" w:cs="Microsoft YaHei"/>
          <w:color w:val="1f2a37"/>
          <w:sz w:val="18"/>
        </w:rPr>
        <w:t>分级审批 + 双人复核，审计可否决，全节点留痕。</w:t>
      </w:r>
    </w:p>
    <w:p w14:paraId="00000012">
      <w:pPr>
        <w:spacing w:before="30" w:after="30" w:line="360"/>
        <w:ind w:left="0" w:right="0"/>
        <w:rPr>
          <w:color w:val="1f2a37"/>
        </w:rPr>
      </w:pPr>
      <w:r>
        <w:rPr>
          <w:rFonts w:hint="eastAsia" w:ascii="Microsoft YaHei" w:hAnsi="Microsoft YaHei" w:eastAsia="Microsoft YaHei" w:cs="Microsoft YaHei"/>
          <w:b w:val="1"/>
          <w:color w:val="33475e"/>
          <w:sz w:val="18"/>
        </w:rPr>
        <w:t>⑥ 结算</w:t>
      </w:r>
      <w:r>
        <w:rPr>
          <w:rFonts w:hint="eastAsia" w:ascii="Microsoft YaHei" w:hAnsi="Microsoft YaHei" w:eastAsia="Microsoft YaHei" w:cs="Microsoft YaHei"/>
          <w:color w:val="1f2a37"/>
          <w:sz w:val="18"/>
        </w:rPr>
        <w:t>结果写回财务 ERP，幂等落账并做补偿与一致性校验。</w:t>
      </w:r>
    </w:p>
    <w:p w14:paraId="00000013">
      <w:pPr>
        <w:spacing w:before="30" w:after="30" w:line="360"/>
        <w:ind w:left="0" w:right="0"/>
        <w:rPr>
          <w:color w:val="1f2a37"/>
        </w:rPr>
      </w:pPr>
      <w:r>
        <w:rPr>
          <w:rFonts w:hint="eastAsia" w:ascii="Microsoft YaHei" w:hAnsi="Microsoft YaHei" w:eastAsia="Microsoft YaHei" w:cs="Microsoft YaHei"/>
          <w:b w:val="1"/>
          <w:color w:val="33475e"/>
          <w:sz w:val="18"/>
        </w:rPr>
        <w:t>⑦ 自助扣费</w:t>
      </w:r>
      <w:r>
        <w:rPr>
          <w:rFonts w:hint="eastAsia" w:ascii="Microsoft YaHei" w:hAnsi="Microsoft YaHei" w:eastAsia="Microsoft YaHei" w:cs="Microsoft YaHei"/>
          <w:color w:val="1f2a37"/>
          <w:sz w:val="18"/>
        </w:rPr>
        <w:t>仅限确定性规则命中、低金额、可回滚场景；设阈值与白名单，事后强制复核。</w:t>
      </w:r>
    </w:p>
    <w:p w14:paraId="00000014">
      <w:pPr>
        <w:pStyle w:val="000001"/>
        <w:keepNext w:val="1"/>
        <w:keepLines w:val="1"/>
        <w:pBdr>
          <w:left w:val="single" w:color="2f6df0" w:sz="30" w:space="5"/>
        </w:pBdr>
        <w:spacing w:before="135" w:beforeAutospacing="1" w:after="45" w:afterAutospacing="1" w:line="360"/>
        <w:ind w:left="0" w:right="0"/>
        <w:outlineLvl w:val="1"/>
        <w:rPr>
          <w:color w:val="1e3a75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e3a75"/>
          <w:sz w:val="21"/>
        </w:rPr>
        <w:t>四、数据与集成</w:t>
      </w:r>
    </w:p>
    <w:p w14:paraId="00000015">
      <w:pPr>
        <w:spacing w:before="30" w:after="30" w:line="360"/>
        <w:ind w:left="0" w:right="0"/>
        <w:rPr>
          <w:color w:val="1f2a37"/>
        </w:rPr>
      </w:pPr>
      <w:r>
        <w:rPr>
          <w:rFonts w:hint="eastAsia" w:ascii="Microsoft YaHei" w:hAnsi="Microsoft YaHei" w:eastAsia="Microsoft YaHei" w:cs="Microsoft YaHei"/>
          <w:b w:val="1"/>
          <w:color w:val="33475e"/>
          <w:sz w:val="18"/>
        </w:rPr>
        <w:t>双源仲裁</w:t>
      </w:r>
      <w:r>
        <w:rPr>
          <w:rFonts w:hint="eastAsia" w:ascii="Microsoft YaHei" w:hAnsi="Microsoft YaHei" w:eastAsia="Microsoft YaHei" w:cs="Microsoft YaHei"/>
          <w:color w:val="1f2a37"/>
          <w:sz w:val="18"/>
        </w:rPr>
        <w:t>GPS/北斗优先、电子回单校验；两源冲突进人工队列并标注置信度，不直接计费。</w:t>
      </w:r>
    </w:p>
    <w:p w14:paraId="00000016">
      <w:pPr>
        <w:spacing w:before="30" w:after="30" w:line="360"/>
        <w:ind w:left="0" w:right="0"/>
        <w:rPr>
          <w:color w:val="1f2a37"/>
        </w:rPr>
      </w:pPr>
      <w:r>
        <w:rPr>
          <w:rFonts w:hint="eastAsia" w:ascii="Microsoft YaHei" w:hAnsi="Microsoft YaHei" w:eastAsia="Microsoft YaHei" w:cs="Microsoft YaHei"/>
          <w:b w:val="1"/>
          <w:color w:val="33475e"/>
          <w:sz w:val="18"/>
        </w:rPr>
        <w:t>集成</w:t>
      </w:r>
      <w:r>
        <w:rPr>
          <w:rFonts w:hint="eastAsia" w:ascii="Microsoft YaHei" w:hAnsi="Microsoft YaHei" w:eastAsia="Microsoft YaHei" w:cs="Microsoft YaHei"/>
          <w:color w:val="1f2a37"/>
          <w:sz w:val="18"/>
        </w:rPr>
        <w:t>TMS / 计费系统 / 财务 ERP 读写打通；写回必须具备幂等键、失败补偿与对账差异回滚能力。</w:t>
      </w:r>
    </w:p>
    <w:p w14:paraId="00000017">
      <w:pPr>
        <w:spacing w:before="30" w:after="30" w:line="360"/>
        <w:ind w:left="0" w:right="0"/>
        <w:rPr>
          <w:color w:val="1f2a37"/>
        </w:rPr>
      </w:pPr>
      <w:r>
        <w:rPr>
          <w:rFonts w:hint="eastAsia" w:ascii="Microsoft YaHei" w:hAnsi="Microsoft YaHei" w:eastAsia="Microsoft YaHei" w:cs="Microsoft YaHei"/>
          <w:b w:val="1"/>
          <w:color w:val="33475e"/>
          <w:sz w:val="18"/>
        </w:rPr>
        <w:t>账期</w:t>
      </w:r>
      <w:r>
        <w:rPr>
          <w:rFonts w:hint="eastAsia" w:ascii="Microsoft YaHei" w:hAnsi="Microsoft YaHei" w:eastAsia="Microsoft YaHei" w:cs="Microsoft YaHei"/>
          <w:color w:val="1f2a37"/>
          <w:sz w:val="18"/>
        </w:rPr>
        <w:t>月结 / 票结 / 预付混合模型，支持多承运商合并账单、预付抵扣、应收应付双账核销。</w:t>
      </w:r>
    </w:p>
    <w:p w14:paraId="00000018">
      <w:pPr>
        <w:spacing w:before="30" w:after="30" w:line="360"/>
        <w:ind w:left="0" w:right="0"/>
        <w:rPr>
          <w:color w:val="1f2a37"/>
        </w:rPr>
      </w:pPr>
      <w:r>
        <w:rPr>
          <w:rFonts w:hint="eastAsia" w:ascii="Microsoft YaHei" w:hAnsi="Microsoft YaHei" w:eastAsia="Microsoft YaHei" w:cs="Microsoft YaHei"/>
          <w:b w:val="1"/>
          <w:color w:val="33475e"/>
          <w:sz w:val="18"/>
        </w:rPr>
        <w:t>数据资产</w:t>
      </w:r>
      <w:r>
        <w:rPr>
          <w:rFonts w:hint="eastAsia" w:ascii="Microsoft YaHei" w:hAnsi="Microsoft YaHei" w:eastAsia="Microsoft YaHei" w:cs="Microsoft YaHei"/>
          <w:color w:val="1f2a37"/>
          <w:sz w:val="18"/>
        </w:rPr>
        <w:t>规则版本库、原始凭证对象存储、不可变事件账本（支撑可重现与审计）。</w:t>
      </w:r>
    </w:p>
    <w:p w14:paraId="00000019">
      <w:pPr>
        <w:pStyle w:val="000001"/>
        <w:keepNext w:val="1"/>
        <w:keepLines w:val="1"/>
        <w:pBdr>
          <w:left w:val="single" w:color="2f6df0" w:sz="30" w:space="5"/>
        </w:pBdr>
        <w:spacing w:before="135" w:beforeAutospacing="1" w:after="45" w:afterAutospacing="1" w:line="360"/>
        <w:ind w:left="0" w:right="0"/>
        <w:outlineLvl w:val="1"/>
        <w:rPr>
          <w:color w:val="1e3a75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e3a75"/>
          <w:sz w:val="21"/>
        </w:rPr>
        <w:t>五、非功能与部署</w:t>
      </w:r>
    </w:p>
    <w:p w14:paraId="0000001A">
      <w:pPr>
        <w:spacing w:before="30" w:after="30" w:line="360"/>
        <w:ind w:left="0" w:right="0"/>
        <w:rPr>
          <w:color w:val="1f2a37"/>
        </w:rPr>
      </w:pPr>
      <w:r>
        <w:rPr>
          <w:rFonts w:hint="eastAsia" w:ascii="Microsoft YaHei" w:hAnsi="Microsoft YaHei" w:eastAsia="Microsoft YaHei" w:cs="Microsoft YaHei"/>
          <w:b w:val="1"/>
          <w:color w:val="33475e"/>
          <w:sz w:val="18"/>
        </w:rPr>
        <w:t>部署</w:t>
      </w:r>
      <w:r>
        <w:rPr>
          <w:rFonts w:hint="eastAsia" w:ascii="Microsoft YaHei" w:hAnsi="Microsoft YaHei" w:eastAsia="Microsoft YaHei" w:cs="Microsoft YaHei"/>
          <w:color w:val="1f2a37"/>
          <w:sz w:val="18"/>
        </w:rPr>
        <w:t>私有化单租户，离线升级、本地备份与灾备演练。</w:t>
      </w:r>
    </w:p>
    <w:p w14:paraId="0000001B">
      <w:pPr>
        <w:spacing w:before="30" w:after="30" w:line="360"/>
        <w:ind w:left="0" w:right="0"/>
        <w:rPr>
          <w:color w:val="1f2a37"/>
        </w:rPr>
      </w:pPr>
      <w:r>
        <w:rPr>
          <w:rFonts w:hint="eastAsia" w:ascii="Microsoft YaHei" w:hAnsi="Microsoft YaHei" w:eastAsia="Microsoft YaHei" w:cs="Microsoft YaHei"/>
          <w:b w:val="1"/>
          <w:color w:val="33475e"/>
          <w:sz w:val="18"/>
        </w:rPr>
        <w:t>性能</w:t>
      </w:r>
      <w:r>
        <w:rPr>
          <w:rFonts w:hint="eastAsia" w:ascii="Microsoft YaHei" w:hAnsi="Microsoft YaHei" w:eastAsia="Microsoft YaHei" w:cs="Microsoft YaHei"/>
          <w:color w:val="1f2a37"/>
          <w:sz w:val="18"/>
        </w:rPr>
        <w:t>百万级票/月、近实时增量对账；分库分表 + 异步任务队列 + 列存做分析查询。</w:t>
      </w:r>
    </w:p>
    <w:p w14:paraId="0000001C">
      <w:pPr>
        <w:spacing w:before="30" w:after="30" w:line="360"/>
        <w:ind w:left="0" w:right="0"/>
        <w:rPr>
          <w:color w:val="1f2a37"/>
        </w:rPr>
      </w:pPr>
      <w:r>
        <w:rPr>
          <w:rFonts w:hint="eastAsia" w:ascii="Microsoft YaHei" w:hAnsi="Microsoft YaHei" w:eastAsia="Microsoft YaHei" w:cs="Microsoft YaHei"/>
          <w:b w:val="1"/>
          <w:color w:val="33475e"/>
          <w:sz w:val="18"/>
        </w:rPr>
        <w:t>安全</w:t>
      </w:r>
      <w:r>
        <w:rPr>
          <w:rFonts w:hint="eastAsia" w:ascii="Microsoft YaHei" w:hAnsi="Microsoft YaHei" w:eastAsia="Microsoft YaHei" w:cs="Microsoft YaHei"/>
          <w:color w:val="1f2a37"/>
          <w:sz w:val="18"/>
        </w:rPr>
        <w:t>最小权限、字段脱敏、审计日志留存，敏感操作二次确认。</w:t>
      </w:r>
    </w:p>
    <w:p w14:paraId="0000001D">
      <w:pPr>
        <w:pStyle w:val="000001"/>
        <w:keepNext w:val="1"/>
        <w:keepLines w:val="1"/>
        <w:pBdr>
          <w:left w:val="single" w:color="2f6df0" w:sz="30" w:space="5"/>
        </w:pBdr>
        <w:spacing w:before="135" w:beforeAutospacing="1" w:after="45" w:afterAutospacing="1" w:line="360"/>
        <w:ind w:left="0" w:right="0"/>
        <w:outlineLvl w:val="1"/>
        <w:rPr>
          <w:color w:val="1e3a75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e3a75"/>
          <w:sz w:val="21"/>
        </w:rPr>
        <w:t>六、验收标准</w:t>
      </w:r>
    </w:p>
    <w:p w14:paraId="0000001E">
      <w:pPr>
        <w:spacing w:before="30" w:after="30" w:line="360"/>
        <w:ind w:left="0" w:right="0"/>
        <w:rPr>
          <w:color w:val="1f2a37"/>
        </w:rPr>
      </w:pPr>
      <w:r>
        <w:rPr>
          <w:rFonts w:hint="eastAsia" w:ascii="Microsoft YaHei" w:hAnsi="Microsoft YaHei" w:eastAsia="Microsoft YaHei" w:cs="Microsoft YaHei"/>
          <w:color w:val="1f2a37"/>
          <w:sz w:val="18"/>
        </w:rPr>
        <w:t>两家承运商试点；可重现率 100%；未授权扣费为零（授权范围内的自助扣费须 100% 可回滚、可追溯）；差异项 1200→400/月；周期 15→7 天且效果可归因。</w:t>
      </w:r>
    </w:p>
    <w:p w14:paraId="0000001F">
      <w:pPr>
        <w:pStyle w:val="000001"/>
        <w:keepNext w:val="1"/>
        <w:keepLines w:val="1"/>
        <w:pBdr>
          <w:left w:val="single" w:color="2f6df0" w:sz="30" w:space="5"/>
        </w:pBdr>
        <w:spacing w:before="135" w:beforeAutospacing="1" w:after="45" w:afterAutospacing="1" w:line="360"/>
        <w:ind w:left="0" w:right="0"/>
        <w:outlineLvl w:val="1"/>
        <w:rPr>
          <w:color w:val="1e3a75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e3a75"/>
          <w:sz w:val="21"/>
        </w:rPr>
        <w:t>七、关键风险与架构取舍</w:t>
      </w:r>
    </w:p>
    <w:p w14:paraId="00000020">
      <w:pPr>
        <w:spacing w:before="30" w:after="30" w:line="360"/>
        <w:ind w:left="0" w:right="0"/>
        <w:rPr>
          <w:color w:val="1f2a37"/>
        </w:rPr>
      </w:pPr>
      <w:r>
        <w:rPr>
          <w:rFonts w:hint="eastAsia" w:ascii="Microsoft YaHei" w:hAnsi="Microsoft YaHei" w:eastAsia="Microsoft YaHei" w:cs="Microsoft YaHei"/>
          <w:b w:val="1"/>
          <w:color w:val="33475e"/>
          <w:sz w:val="18"/>
        </w:rPr>
        <w:t>取舍一</w:t>
      </w:r>
      <w:r>
        <w:rPr>
          <w:rFonts w:hint="eastAsia" w:ascii="Microsoft YaHei" w:hAnsi="Microsoft YaHei" w:eastAsia="Microsoft YaHei" w:cs="Microsoft YaHei"/>
          <w:color w:val="1f2a37"/>
          <w:sz w:val="18"/>
        </w:rPr>
        <w:t>私有化 + 百万级近实时：放弃云原生弹性，改为分库分表 + 异步队列，扩容靠纵向与分片。</w:t>
      </w:r>
    </w:p>
    <w:p w14:paraId="00000021">
      <w:pPr>
        <w:spacing w:before="30" w:after="30" w:line="360"/>
        <w:ind w:left="0" w:right="0"/>
        <w:rPr>
          <w:color w:val="1f2a37"/>
        </w:rPr>
      </w:pPr>
      <w:r>
        <w:rPr>
          <w:rFonts w:hint="eastAsia" w:ascii="Microsoft YaHei" w:hAnsi="Microsoft YaHei" w:eastAsia="Microsoft YaHei" w:cs="Microsoft YaHei"/>
          <w:b w:val="1"/>
          <w:color w:val="33475e"/>
          <w:sz w:val="18"/>
        </w:rPr>
        <w:t>取舍二</w:t>
      </w:r>
      <w:r>
        <w:rPr>
          <w:rFonts w:hint="eastAsia" w:ascii="Microsoft YaHei" w:hAnsi="Microsoft YaHei" w:eastAsia="Microsoft YaHei" w:cs="Microsoft YaHei"/>
          <w:color w:val="1f2a37"/>
          <w:sz w:val="18"/>
        </w:rPr>
        <w:t>可写回 ERP 与账本不可变冲突：写回走「先记账本、后异步落账、失败可补偿」，不做双写强一致。</w:t>
      </w:r>
    </w:p>
    <w:p w14:paraId="00000022">
      <w:pPr>
        <w:spacing w:before="30" w:after="30" w:line="360"/>
        <w:ind w:left="0" w:right="0"/>
        <w:rPr>
          <w:color w:val="1f2a37"/>
        </w:rPr>
      </w:pPr>
      <w:r>
        <w:rPr>
          <w:rFonts w:hint="eastAsia" w:ascii="Microsoft YaHei" w:hAnsi="Microsoft YaHei" w:eastAsia="Microsoft YaHei" w:cs="Microsoft YaHei"/>
          <w:b w:val="1"/>
          <w:color w:val="33475e"/>
          <w:sz w:val="18"/>
        </w:rPr>
        <w:t>取舍三</w:t>
      </w:r>
      <w:r>
        <w:rPr>
          <w:rFonts w:hint="eastAsia" w:ascii="Microsoft YaHei" w:hAnsi="Microsoft YaHei" w:eastAsia="Microsoft YaHei" w:cs="Microsoft YaHei"/>
          <w:color w:val="1f2a37"/>
          <w:sz w:val="18"/>
        </w:rPr>
        <w:t>自助扣费是最大合规风险：建议首期仅开放「固定金额 / 明确规则命中」两类，模型不参与扣费决策。</w:t>
      </w:r>
    </w:p>
    <w:p w14:paraId="00000023">
      <w:pPr>
        <w:pBdr>
          <w:top w:val="dashed" w:color="dbe3ec" w:sz="6" w:space="3"/>
        </w:pBdr>
        <w:spacing w:before="120" w:line="360"/>
        <w:rPr>
          <w:color w:val="8a97a8"/>
        </w:rPr>
      </w:pPr>
      <w:r>
        <w:rPr>
          <w:rFonts w:hint="eastAsia" w:ascii="Microsoft YaHei" w:hAnsi="Microsoft YaHei" w:eastAsia="Microsoft YaHei" w:cs="Microsoft YaHei"/>
          <w:color w:val="8a97a8"/>
          <w:sz w:val="16"/>
        </w:rPr>
        <w:t>说明：本清单基于 10 项需求确认（1A 规则自助配置 / 2A+C 双源 / 3B 混合账期 / 4B 分级审批 / 5A+受控扣费 / 6B 私有化 / 7B 可写回 / 8A 单法人 / 9A 不开票 / 10B 百万级）。未明确项按行业默认值假设，需在需求规格书中确认。</w:t>
      </w:r>
    </w:p>
    <w:p w14:paraId="00000024">
      <w:pPr/>
    </w:p>
    <w:sectPr>
      <w:footerReference r:id="rId4" w:type="default"/>
      <w:pgMar w:top="850" w:right="907" w:bottom="850" w:left="907" w:header="851" w:footer="992" w:gutter="0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00000025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st Number 5" w:semiHidden="1" w:unhideWhenUsed="1"/>
    <w:lsdException w:name="heading 8" w:uiPriority="9" w:semiHidden="1" w:unhideWhenUsed="1" w:qFormat="1"/>
    <w:lsdException w:name="List Continue 3" w:semiHidden="1" w:unhideWhenUsed="1"/>
    <w:lsdException w:name="List Continue 2" w:semiHidden="1" w:unhideWhenUsed="1"/>
    <w:lsdException w:name="heading 2" w:uiPriority="9" w:semiHidden="1" w:unhideWhenUsed="1" w:qFormat="1"/>
    <w:lsdException w:name="toa heading" w:semiHidden="1" w:unhideWhenUsed="1"/>
    <w:lsdException w:name="caption" w:uiPriority="35" w:semiHidden="1" w:unhideWhenUsed="1" w:qFormat="1"/>
    <w:lsdException w:name="Signature" w:semiHidden="1" w:unhideWhenUsed="1"/>
    <w:lsdException w:name="Body Text First Indent" w:semiHidden="1" w:unhideWhenUsed="1"/>
    <w:lsdException w:name="Strong" w:uiPriority="22" w:qFormat="1"/>
    <w:lsdException w:name="annotation reference" w:semiHidden="1" w:unhideWhenUsed="1"/>
    <w:lsdException w:name="table of figures" w:semiHidden="1" w:unhideWhenUsed="1"/>
    <w:lsdException w:name="Title" w:uiPriority="10" w:qFormat="1"/>
    <w:lsdException w:name="FollowedHyperlink" w:semiHidden="1" w:unhideWhenUsed="1"/>
    <w:lsdException w:name="List Continue 5" w:semiHidden="1" w:unhideWhenUsed="1"/>
    <w:lsdException w:name="List Continue 4" w:semiHidden="1" w:unhideWhenUsed="1"/>
    <w:lsdException w:name="envelope address" w:semiHidden="1" w:unhideWhenUsed="1"/>
    <w:lsdException w:name="annotation text" w:semiHidden="1" w:unhideWhenUsed="1"/>
    <w:lsdException w:name="header" w:semiHidden="1" w:unhideWhenUsed="1"/>
    <w:lsdException w:name="heading 4" w:uiPriority="9" w:semiHidden="1" w:unhideWhenUsed="1" w:qFormat="1"/>
    <w:lsdException w:name="toc 3" w:uiPriority="39" w:semiHidden="1" w:unhideWhenUsed="1"/>
    <w:lsdException w:name="toc 2" w:uiPriority="39" w:semiHidden="1" w:unhideWhenUsed="1"/>
    <w:lsdException w:name="toc 8" w:uiPriority="39" w:semiHidden="1" w:unhideWhenUsed="1"/>
    <w:lsdException w:name="index 6" w:semiHidden="1" w:unhideWhenUsed="1"/>
    <w:lsdException w:name="footer" w:semiHidden="1" w:unhideWhenUsed="1"/>
    <w:lsdException w:name="List Continue" w:semiHidden="1" w:unhideWhenUsed="1"/>
    <w:lsdException w:name="envelope return" w:semiHidden="1" w:unhideWhenUsed="1"/>
    <w:lsdException w:name="Body Text" w:semiHidden="1" w:unhideWhenUsed="1"/>
    <w:lsdException w:name="heading 5" w:uiPriority="9" w:semiHidden="1" w:unhideWhenUsed="1" w:qFormat="1"/>
    <w:lsdException w:name="List Number" w:semiHidden="1" w:unhideWhenUsed="1"/>
    <w:lsdException w:name="heading 1" w:uiPriority="9" w:qFormat="1"/>
    <w:lsdException w:name="toc 5" w:uiPriority="39" w:semiHidden="1" w:unhideWhenUsed="1"/>
    <w:lsdException w:name="heading 9" w:uiPriority="9" w:semiHidden="1" w:unhideWhenUsed="1" w:qFormat="1"/>
    <w:lsdException w:name="endnote text" w:semiHidden="1" w:unhideWhenUsed="1"/>
    <w:lsdException w:name="List Bullet 5" w:semiHidden="1" w:unhideWhenUsed="1"/>
    <w:lsdException w:name="index 3" w:semiHidden="1" w:unhideWhenUsed="1"/>
    <w:lsdException w:name="toc 4" w:uiPriority="39" w:semiHidden="1" w:unhideWhenUsed="1"/>
    <w:lsdException w:name="Body Text Indent 3" w:semiHidden="1" w:unhideWhenUsed="1"/>
    <w:lsdException w:name="index 7" w:semiHidden="1" w:unhideWhenUsed="1"/>
    <w:lsdException w:name="toc 9" w:uiPriority="39" w:semiHidden="1" w:unhideWhenUsed="1"/>
    <w:lsdException w:name="index 4" w:semiHidden="1" w:unhideWhenUsed="1"/>
    <w:lsdException w:name="index 5" w:semiHidden="1" w:unhideWhenUsed="1"/>
    <w:lsdException w:name="index heading" w:semiHidden="1" w:unhideWhenUsed="1"/>
    <w:lsdException w:name="Message Header" w:semiHidden="1" w:unhideWhenUsed="1"/>
    <w:lsdException w:name="line number" w:semiHidden="1" w:unhideWhenUsed="1"/>
    <w:lsdException w:name="Normal Indent" w:semiHidden="1" w:unhideWhenUsed="1"/>
    <w:lsdException w:name="footnote reference" w:semiHidden="1" w:unhideWhenUsed="1"/>
    <w:lsdException w:name="heading 6" w:uiPriority="9" w:semiHidden="1" w:unhideWhenUsed="1" w:qFormat="1"/>
    <w:lsdException w:name="Closing" w:semiHidden="1" w:unhideWhenUsed="1"/>
    <w:lsdException w:name="footnote text" w:semiHidden="1" w:unhideWhenUsed="1"/>
    <w:lsdException w:name="List Number 4" w:semiHidden="1" w:unhideWhenUsed="1"/>
    <w:lsdException w:name="Hyperlink" w:semiHidden="1" w:unhideWhenUsed="1"/>
    <w:lsdException w:name="heading 7" w:uiPriority="9" w:semiHidden="1" w:unhideWhenUsed="1" w:qFormat="1"/>
    <w:lsdException w:name="List Bullet 4" w:semiHidden="1" w:unhideWhenUsed="1"/>
    <w:lsdException w:name="index 1" w:semiHidden="1" w:unhideWhenUsed="1"/>
    <w:lsdException w:name="macro" w:semiHidden="1" w:unhideWhenUsed="1"/>
    <w:lsdException w:name="toc 7" w:uiPriority="39" w:semiHidden="1" w:unhideWhenUsed="1"/>
    <w:lsdException w:name="index 9" w:semiHidden="1" w:unhideWhenUsed="1"/>
    <w:lsdException w:name="index 2" w:semiHidden="1" w:unhideWhenUsed="1"/>
    <w:lsdException w:name="Subtitle" w:uiPriority="11" w:qFormat="1"/>
    <w:lsdException w:name="Default Paragraph Font" w:uiPriority="1" w:semiHidden="1" w:unhideWhenUsed="1"/>
    <w:lsdException w:name="Body Text Indent 2" w:semiHidden="1" w:unhideWhenUsed="1"/>
    <w:lsdException w:name="List Bullet" w:semiHidden="1" w:unhideWhenUsed="1"/>
    <w:lsdException w:name="List" w:semiHidden="1" w:unhideWhenUsed="1"/>
    <w:lsdException w:name="table of authorities" w:semiHidden="1" w:unhideWhenUsed="1"/>
    <w:lsdException w:name="Body Text 2" w:semiHidden="1" w:unhideWhenUsed="1"/>
    <w:lsdException w:name="Date" w:semiHidden="1" w:unhideWhenUsed="1"/>
    <w:lsdException w:name="List Number 2" w:semiHidden="1" w:unhideWhenUsed="1"/>
    <w:lsdException w:name="List Number 3" w:semiHidden="1" w:unhideWhenUsed="1"/>
    <w:lsdException w:name="Body Text 3" w:semiHidden="1" w:unhideWhenUsed="1"/>
    <w:lsdException w:name="heading 3" w:uiPriority="9" w:semiHidden="1" w:unhideWhenUsed="1" w:qFormat="1"/>
    <w:lsdException w:name="Block Text" w:semiHidden="1" w:unhideWhenUsed="1"/>
    <w:lsdException w:name="endnote reference" w:semiHidden="1" w:unhideWhenUsed="1"/>
    <w:lsdException w:name="Normal" w:uiPriority="0" w:qFormat="1"/>
    <w:lsdException w:name="List Bullet 2" w:semiHidden="1" w:unhideWhenUsed="1"/>
    <w:lsdException w:name="page number" w:semiHidden="1" w:unhideWhenUsed="1"/>
    <w:lsdException w:name="List Bullet 3" w:semiHidden="1" w:unhideWhenUsed="1"/>
    <w:lsdException w:name="toc 1" w:uiPriority="39" w:semiHidden="1" w:unhideWhenUsed="1"/>
    <w:lsdException w:name="toc 6" w:uiPriority="39" w:semiHidden="1" w:unhideWhenUsed="1"/>
    <w:lsdException w:name="List 5" w:semiHidden="1" w:unhideWhenUsed="1"/>
    <w:lsdException w:name="Note Heading" w:semiHidden="1" w:unhideWhenUsed="1"/>
    <w:lsdException w:name="List 2" w:semiHidden="1" w:unhideWhenUsed="1"/>
    <w:lsdException w:name="index 8" w:semiHidden="1" w:unhideWhenUsed="1"/>
    <w:lsdException w:name="List 4" w:semiHidden="1" w:unhideWhenUsed="1"/>
    <w:lsdException w:name="Salutation" w:semiHidden="1" w:unhideWhenUsed="1"/>
    <w:lsdException w:name="Body Text First Indent 2" w:semiHidden="1" w:unhideWhenUsed="1"/>
    <w:lsdException w:name="Body Text Indent" w:semiHidden="1" w:unhideWhenUsed="1"/>
    <w:lsdException w:name="List 3" w:semiHidden="1" w:unhideWhenUsed="1"/>
  </w:latentStyles>
  <w:style w:type="paragraph" w:styleId="6lzbrt" w:default="1">
    <w:name w:val="Normal"/>
    <w:qFormat w:val="1"/>
    <w:pPr>
      <w:widowControl w:val="0"/>
      <w:spacing w:before="60" w:after="60" w:line="240" w:lineRule="auto"/>
      <w:jc w:val="left"/>
    </w:pPr>
    <w:rPr>
      <w:color w:val="333333"/>
      <w:sz w:val="22"/>
    </w:rPr>
  </w:style>
  <w:style w:type="paragraph" w:styleId="000001">
    <w:name w:val="heading 2"/>
    <w:basedOn w:val="000002"/>
    <w:next w:val="000002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4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2026-10-30T09:07:03Z</dcterms:created>
  <dcterms:modified xsi:type="dcterms:W3CDTF">2026-10-30T09:07:03Z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"01a18a56ea9a789cb03e907b6fbe25e3", "ReservedCode1": "", "ContentPropagator": "00119111010856365494821B355", "PropagateID": "01a18a56ea9a789cb03e907b6fbe25e3", "ReservedCode2": ""}}</vt:lpwstr>
  </property>
</Properties>
</file>