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资产与账号管理办法</w:t>
      </w:r>
    </w:p>
    <w:p>
      <w:pPr>
        <w:pStyle w:val="Heading2"/>
      </w:pPr>
      <w:r>
        <w:t>第一章 总则</w:t>
      </w:r>
    </w:p>
    <w:p>
      <w:r>
        <w:t>为规范公司信息技术资产与各类系统账号的申请、使用、变更与回收，保障信息系统的安全稳定运行，特制定本办法。本办法由信息技术部负责实施与解释。</w:t>
      </w:r>
    </w:p>
    <w:p>
      <w:pPr>
        <w:pStyle w:val="Heading2"/>
      </w:pPr>
      <w:r>
        <w:t>第二章 账号开通流程</w:t>
      </w:r>
    </w:p>
    <w:p>
      <w:r>
        <w:t>新员工入职时由人力资源部统一提交账号开通申请，信息技术部在收到申请后的一个工作日内完成域账号、邮箱与办公系统的开通。外包与实习人员须由用工部门提出申请并明确使用期限。</w:t>
      </w:r>
    </w:p>
    <w:p>
      <w:r>
        <w:t>账号开通后员工应当立即修改初始口令，并按要求完成实名绑定。账号实行一人一号，禁止多人共用一个账号，禁止将账号借予他人使用。</w:t>
      </w:r>
    </w:p>
    <w:p>
      <w:pPr>
        <w:pStyle w:val="Heading2"/>
      </w:pPr>
      <w:r>
        <w:t>第三章 权限申请与变更</w:t>
      </w:r>
    </w:p>
    <w:p>
      <w:r>
        <w:t>员工访问业务系统或数据资源需要额外权限的，应当提交权限申请，说明用途与期限，经数据所属部门负责人审批后由信息技术部授予。权限遵循最小必要原则，到期自动回收。</w:t>
      </w:r>
    </w:p>
    <w:p>
      <w:r>
        <w:t>员工岗位调整时，用工部门应当及时提交权限变更申请，回收原岗位权限并授予新岗位权限，避免出现权限冗余或权限真空。</w:t>
      </w:r>
    </w:p>
    <w:p>
      <w:pPr>
        <w:pStyle w:val="Heading2"/>
      </w:pPr>
      <w:r>
        <w:t>第四章 邮箱与域账号</w:t>
      </w:r>
    </w:p>
    <w:p>
      <w:r>
        <w:t>公司邮箱仅限工作用途，不得用于注册与工作无关的外部服务，不得发送违法违规内容。邮箱容量达到上限时应当及时清理，重要邮件应当归档保存。</w:t>
      </w:r>
    </w:p>
    <w:p>
      <w:r>
        <w:t>域账号是员工访问办公终端与内部系统的统一身份，员工应当妥善保管并及时更新口令。发现账号异常登录的，应当立即修改口令并报告信息技术部。</w:t>
      </w:r>
    </w:p>
    <w:p>
      <w:pPr>
        <w:pStyle w:val="Heading2"/>
      </w:pPr>
      <w:r>
        <w:t>第五章 远程接入与 VPN</w:t>
      </w:r>
    </w:p>
    <w:p>
      <w:r>
        <w:t>员工因工作需要在公司网络之外访问内部系统的，应当申请 VPN 账号并遵守远程接入规范。VPN 连接不得转借他人使用，不得在公共终端上保存连接凭据。</w:t>
      </w:r>
    </w:p>
    <w:p>
      <w:pPr>
        <w:pStyle w:val="Heading2"/>
      </w:pPr>
      <w:r>
        <w:t>第六章 软件安装与授权</w:t>
      </w:r>
    </w:p>
    <w:p>
      <w:r>
        <w:t>办公终端所需软件应当从公司软件库安装，商业软件须使用公司统一采购的授权。禁止安装来源不明或存在侵权风险的软件，禁止使用个人授权在办公设备上激活商业软件。</w:t>
      </w:r>
    </w:p>
    <w:p>
      <w:pPr>
        <w:pStyle w:val="Heading2"/>
      </w:pPr>
      <w:r>
        <w:t>第七章 终端领用与归还</w:t>
      </w:r>
    </w:p>
    <w:p>
      <w:r>
        <w:t>办公电脑等终端由行政部采购、信息技术部配置后发放，员工领用时应当签署领用登记。终端发生故障应当报修，不得自行拆机维修。员工离职时应当归还终端并交回全部配件。</w:t>
      </w:r>
    </w:p>
    <w:p>
      <w:pPr>
        <w:pStyle w:val="Heading2"/>
      </w:pPr>
      <w:r>
        <w:t>第八章 离职账号回收</w:t>
      </w:r>
    </w:p>
    <w:p>
      <w:r>
        <w:t>员工办理离职手续时，信息技术部应当在其最后工作日的次日完成全部账号的停用，并按规定保留必要的邮件与数据以备交接。涉及机密岗位的账号应当立即停用并开展数据审计。</w:t>
      </w:r>
    </w:p>
    <w:p>
      <w:pPr>
        <w:pStyle w:val="Heading2"/>
      </w:pPr>
      <w:r>
        <w:t>第九章 附则</w:t>
      </w:r>
    </w:p>
    <w:p>
      <w:r>
        <w:t>本办法自 2026 年 1 月 1 日起施行，与《信息安全与数据保密管理办法》配套执行。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