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费用报销操作规范（2026 详细版）</w:t>
      </w:r>
    </w:p>
    <w:p>
      <w:pPr>
        <w:pStyle w:val="Heading2"/>
      </w:pPr>
      <w:r>
        <w:t>第一章 总则与适用范围</w:t>
      </w:r>
    </w:p>
    <w:p>
      <w:r>
        <w:t>为规范公司各项费用的报销行为，统一报销口径与操作流程，提高费用核算的准确性与时效性，特制定本规范。本规范适用于公司全体正式员工因公发生的各类费用的报销，包括差旅、招待、通讯、办公与培训等费用。</w:t>
      </w:r>
    </w:p>
    <w:p>
      <w:r>
        <w:t>费用报销应当遵循真实、合规、节约与及时的原则。报销人对所提交单据的真实性负责，审批人对费用发生的必要性与合理性负责，财务部负责单据的合规性审核与账务处理。任何人员不得虚构事项报销，不得拆分单据规避审批权限。</w:t>
      </w:r>
    </w:p>
    <w:p>
      <w:pPr>
        <w:pStyle w:val="Heading2"/>
      </w:pPr>
      <w:r>
        <w:t>第二章 报销单据要求</w:t>
      </w:r>
    </w:p>
    <w:p>
      <w:r>
        <w:t>报销应当提交完整的原始单据，包括发票或合规收据、消费明细、审批记录与必要的证明材料。单据应当按照费用类别分别粘贴或装订，并在报销系统中与电子影像一一对应。</w:t>
      </w:r>
    </w:p>
    <w:p>
      <w:r>
        <w:t>发票抬头必须为公司全称，纳税人识别号应当准确无误，发票内容应当与实际消费一致。定额发票、手撕票与电子发票均须查验真伪，重复报销一经查实将按违纪处理。</w:t>
      </w:r>
    </w:p>
    <w:p>
      <w:pPr>
        <w:pStyle w:val="Heading2"/>
      </w:pPr>
      <w:r>
        <w:t>第三章 各类费用标准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费用类别</w:t>
            </w:r>
          </w:p>
        </w:tc>
        <w:tc>
          <w:tcPr>
            <w:tcW w:type="dxa" w:w="2880"/>
          </w:tcPr>
          <w:p>
            <w:r>
              <w:t>限额标准</w:t>
            </w:r>
          </w:p>
        </w:tc>
        <w:tc>
          <w:tcPr>
            <w:tcW w:type="dxa" w:w="2880"/>
          </w:tcPr>
          <w:p>
            <w:r>
              <w:t>凭证要求</w:t>
            </w:r>
          </w:p>
        </w:tc>
      </w:tr>
      <w:tr>
        <w:tc>
          <w:tcPr>
            <w:tcW w:type="dxa" w:w="2880"/>
          </w:tcPr>
          <w:p>
            <w:r>
              <w:t>市内交通</w:t>
            </w:r>
          </w:p>
        </w:tc>
        <w:tc>
          <w:tcPr>
            <w:tcW w:type="dxa" w:w="2880"/>
          </w:tcPr>
          <w:p>
            <w:r>
              <w:t>每日 60 元</w:t>
            </w:r>
          </w:p>
        </w:tc>
        <w:tc>
          <w:tcPr>
            <w:tcW w:type="dxa" w:w="2880"/>
          </w:tcPr>
          <w:p>
            <w:r>
              <w:t>凭据报销</w:t>
            </w:r>
          </w:p>
        </w:tc>
      </w:tr>
      <w:tr>
        <w:tc>
          <w:tcPr>
            <w:tcW w:type="dxa" w:w="2880"/>
          </w:tcPr>
          <w:p>
            <w:r>
              <w:t>通讯费</w:t>
            </w:r>
          </w:p>
        </w:tc>
        <w:tc>
          <w:tcPr>
            <w:tcW w:type="dxa" w:w="2880"/>
          </w:tcPr>
          <w:p>
            <w:r>
              <w:t>每月 300 元</w:t>
            </w:r>
          </w:p>
        </w:tc>
        <w:tc>
          <w:tcPr>
            <w:tcW w:type="dxa" w:w="2880"/>
          </w:tcPr>
          <w:p>
            <w:r>
              <w:t>凭账单报销</w:t>
            </w:r>
          </w:p>
        </w:tc>
      </w:tr>
      <w:tr>
        <w:tc>
          <w:tcPr>
            <w:tcW w:type="dxa" w:w="2880"/>
          </w:tcPr>
          <w:p>
            <w:r>
              <w:t>业务招待</w:t>
            </w:r>
          </w:p>
        </w:tc>
        <w:tc>
          <w:tcPr>
            <w:tcW w:type="dxa" w:w="2880"/>
          </w:tcPr>
          <w:p>
            <w:r>
              <w:t>每次 1200 元</w:t>
            </w:r>
          </w:p>
        </w:tc>
        <w:tc>
          <w:tcPr>
            <w:tcW w:type="dxa" w:w="2880"/>
          </w:tcPr>
          <w:p>
            <w:r>
              <w:t>需事前申请</w:t>
            </w:r>
          </w:p>
        </w:tc>
      </w:tr>
      <w:tr>
        <w:tc>
          <w:tcPr>
            <w:tcW w:type="dxa" w:w="2880"/>
          </w:tcPr>
          <w:p>
            <w:r>
              <w:t>办公用品</w:t>
            </w:r>
          </w:p>
        </w:tc>
        <w:tc>
          <w:tcPr>
            <w:tcW w:type="dxa" w:w="2880"/>
          </w:tcPr>
          <w:p>
            <w:r>
              <w:t>每笔 800 元</w:t>
            </w:r>
          </w:p>
        </w:tc>
        <w:tc>
          <w:tcPr>
            <w:tcW w:type="dxa" w:w="2880"/>
          </w:tcPr>
          <w:p>
            <w:r>
              <w:t>需附清单</w:t>
            </w:r>
          </w:p>
        </w:tc>
      </w:tr>
      <w:tr>
        <w:tc>
          <w:tcPr>
            <w:tcW w:type="dxa" w:w="2880"/>
          </w:tcPr>
          <w:p>
            <w:r>
              <w:t>会议费</w:t>
            </w:r>
          </w:p>
        </w:tc>
        <w:tc>
          <w:tcPr>
            <w:tcW w:type="dxa" w:w="2880"/>
          </w:tcPr>
          <w:p>
            <w:r>
              <w:t>每人每天 700 元</w:t>
            </w:r>
          </w:p>
        </w:tc>
        <w:tc>
          <w:tcPr>
            <w:tcW w:type="dxa" w:w="2880"/>
          </w:tcPr>
          <w:p>
            <w:r>
              <w:t>需附议程</w:t>
            </w:r>
          </w:p>
        </w:tc>
      </w:tr>
      <w:tr>
        <w:tc>
          <w:tcPr>
            <w:tcW w:type="dxa" w:w="2880"/>
          </w:tcPr>
          <w:p>
            <w:r>
              <w:t>培训费</w:t>
            </w:r>
          </w:p>
        </w:tc>
        <w:tc>
          <w:tcPr>
            <w:tcW w:type="dxa" w:w="2880"/>
          </w:tcPr>
          <w:p>
            <w:r>
              <w:t>按协议据实</w:t>
            </w:r>
          </w:p>
        </w:tc>
        <w:tc>
          <w:tcPr>
            <w:tcW w:type="dxa" w:w="2880"/>
          </w:tcPr>
          <w:p>
            <w:r>
              <w:t>需附合同</w:t>
            </w:r>
          </w:p>
        </w:tc>
      </w:tr>
    </w:tbl>
    <w:p>
      <w:r>
        <w:t>超出上述标准确因业务需要的，应当提交书面说明并由分管负责人审批。业务招待费实行事前报备制度，未事前报备的招待费用原则上不予报销。</w:t>
      </w:r>
    </w:p>
    <w:p>
      <w:pPr>
        <w:pStyle w:val="Heading2"/>
      </w:pPr>
      <w:r>
        <w:t>第四章 报销审批流程</w:t>
      </w:r>
    </w:p>
    <w:p>
      <w:r>
        <w:t>报销人在系统内填写报销单并上传单据影像，系统按金额自动匹配审批权限。单笔费用在两千元以内的由部门负责人审批；两千元至一万元的由分管负责人审批；一万元以上的报总经理审批。</w:t>
      </w:r>
    </w:p>
    <w:p>
      <w:r>
        <w:t>财务部在收到报销单后应当在三个工作日内完成审核，审核不通过的注明退单原因并退回修改。审核通过后由出纳安排付款，款项原则上打入员工本人工资卡账户。</w:t>
      </w:r>
    </w:p>
    <w:p>
      <w:pPr>
        <w:pStyle w:val="Heading2"/>
      </w:pPr>
      <w:r>
        <w:t>第五章 报销时限</w:t>
      </w:r>
    </w:p>
    <w:p>
      <w:r>
        <w:t>费用应当在发生后二十日内提交报销申请，跨年度费用不得在次年首月之后报销。确因票据未到等客观原因无法及时报销的，应当提前向财务部备案说明。逾期未报销且未备案的，财务部有权不予受理。</w:t>
      </w:r>
    </w:p>
    <w:p>
      <w:pPr>
        <w:pStyle w:val="Heading2"/>
      </w:pPr>
      <w:r>
        <w:t>第六章 特殊场景处理</w:t>
      </w:r>
    </w:p>
    <w:p>
      <w:r>
        <w:t>预借款项应当在借款事项结束后十五日内办理冲账，未冲账的借款不得再次申请借款。多人参与同一事项的，可以合并报销但须指定一名报销人并附参与人员清单。因退单导致报销延迟的，重新计算报销时限。</w:t>
      </w:r>
    </w:p>
    <w:p>
      <w:pPr>
        <w:pStyle w:val="Heading2"/>
      </w:pPr>
      <w:r>
        <w:t>第七章 违规处理</w:t>
      </w:r>
    </w:p>
    <w:p>
      <w:r>
        <w:t>对虚假报销、重复报销、篡改单据等行为，公司将追回款项并给予纪律处分；情节严重构成职务侵占的，移送司法机关处理。审批人明知不合规仍予审批的，应当承担连带责任。</w:t>
      </w:r>
    </w:p>
    <w:p>
      <w:pPr>
        <w:pStyle w:val="Heading2"/>
      </w:pPr>
      <w:r>
        <w:t>第八章 附则</w:t>
      </w:r>
    </w:p>
    <w:p>
      <w:r>
        <w:t>本规范自 2026 年 1 月 1 日起施行，由财务部负责解释与修订。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