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采购付款管理流程</w:t>
      </w:r>
    </w:p>
    <w:p>
      <w:pPr>
        <w:pStyle w:val="Heading2"/>
      </w:pPr>
      <w:r>
        <w:t>一、目的</w:t>
      </w:r>
    </w:p>
    <w:p>
      <w:r>
        <w:t>规范公司采购活动中的申请、审批与付款环节，降低资金占用与合规风险。</w:t>
      </w:r>
    </w:p>
    <w:p>
      <w:pPr>
        <w:pStyle w:val="Heading2"/>
      </w:pPr>
      <w:r>
        <w:t>二、适用范围</w:t>
      </w:r>
    </w:p>
    <w:p>
      <w:r>
        <w:t>本流程适用于生产物料、办公用品与服务类采购。固定资产采购另按资产管理办法执行。</w:t>
      </w:r>
    </w:p>
    <w:p>
      <w:pPr>
        <w:pStyle w:val="Heading2"/>
      </w:pPr>
      <w:r>
        <w:t>三、金额分级审批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采购金额区间</w:t>
            </w:r>
          </w:p>
        </w:tc>
        <w:tc>
          <w:tcPr>
            <w:tcW w:type="dxa" w:w="4320"/>
          </w:tcPr>
          <w:p>
            <w:r>
              <w:t>审批人</w:t>
            </w:r>
          </w:p>
        </w:tc>
      </w:tr>
      <w:tr>
        <w:tc>
          <w:tcPr>
            <w:tcW w:type="dxa" w:w="4320"/>
          </w:tcPr>
          <w:p>
            <w:r>
              <w:t>1 万元以内</w:t>
            </w:r>
          </w:p>
        </w:tc>
        <w:tc>
          <w:tcPr>
            <w:tcW w:type="dxa" w:w="4320"/>
          </w:tcPr>
          <w:p>
            <w:r>
              <w:t>部门经理</w:t>
            </w:r>
          </w:p>
        </w:tc>
      </w:tr>
      <w:tr>
        <w:tc>
          <w:tcPr>
            <w:tcW w:type="dxa" w:w="4320"/>
          </w:tcPr>
          <w:p>
            <w:r>
              <w:t>1 万元至 10 万元</w:t>
            </w:r>
          </w:p>
        </w:tc>
        <w:tc>
          <w:tcPr>
            <w:tcW w:type="dxa" w:w="4320"/>
          </w:tcPr>
          <w:p>
            <w:r>
              <w:t>分管副总</w:t>
            </w:r>
          </w:p>
        </w:tc>
      </w:tr>
      <w:tr>
        <w:tc>
          <w:tcPr>
            <w:tcW w:type="dxa" w:w="4320"/>
          </w:tcPr>
          <w:p>
            <w:r>
              <w:t>10 万元以上</w:t>
            </w:r>
          </w:p>
        </w:tc>
        <w:tc>
          <w:tcPr>
            <w:tcW w:type="dxa" w:w="4320"/>
          </w:tcPr>
          <w:p>
            <w:r>
              <w:t>总经理办公会决议</w:t>
            </w:r>
          </w:p>
        </w:tc>
      </w:tr>
    </w:tbl>
    <w:p>
      <w:pPr>
        <w:pStyle w:val="Heading2"/>
      </w:pPr>
      <w:r>
        <w:t>四、付款方式</w:t>
      </w:r>
    </w:p>
    <w:p>
      <w:r>
        <w:t>原则上采用对公转账，付款周期为验收合格后 45 个自然日。</w:t>
      </w:r>
    </w:p>
    <w:p>
      <w:r>
        <w:t>单笔超过 5 万元的付款需附供应商银行账户信息复核单。</w:t>
      </w:r>
    </w:p>
    <w:p>
      <w:pPr>
        <w:pStyle w:val="Heading2"/>
      </w:pPr>
      <w:r>
        <w:t>五、供应商管理</w:t>
      </w:r>
    </w:p>
    <w:p>
      <w:r>
        <w:t>新供应商需完成资质审查与现场考察，纳入合格供应商名录后方可下单。</w:t>
      </w:r>
    </w:p>
    <w:p>
      <w:pPr>
        <w:pStyle w:val="Heading2"/>
      </w:pPr>
      <w:r>
        <w:t>六、附则</w:t>
      </w:r>
    </w:p>
    <w:p>
      <w:r>
        <w:t>本流程自 2026 年 2 月 1 日起执行。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