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年度经营运营季度回顾</w:t>
      </w:r>
    </w:p>
    <w:p>
      <w:r>
        <w:t>本报告汇总全年四个季度的营收、订单与成本结构数据，供管理层决策参考。</w:t>
      </w:r>
    </w:p>
    <w:p>
      <w:pPr>
        <w:pStyle w:val="Heading2"/>
      </w:pPr>
      <w:r>
        <w:t>一、季度营收与毛利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营收(万元)</w:t>
            </w:r>
          </w:p>
        </w:tc>
        <w:tc>
          <w:tcPr>
            <w:tcW w:type="dxa" w:w="2160"/>
          </w:tcPr>
          <w:p>
            <w:r>
              <w:t>成本(万元)</w:t>
            </w:r>
          </w:p>
        </w:tc>
        <w:tc>
          <w:tcPr>
            <w:tcW w:type="dxa" w:w="2160"/>
          </w:tcPr>
          <w:p>
            <w:r>
              <w:t>毛利率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4200</w:t>
            </w:r>
          </w:p>
        </w:tc>
        <w:tc>
          <w:tcPr>
            <w:tcW w:type="dxa" w:w="2160"/>
          </w:tcPr>
          <w:p>
            <w:r>
              <w:t>3024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4680</w:t>
            </w:r>
          </w:p>
        </w:tc>
        <w:tc>
          <w:tcPr>
            <w:tcW w:type="dxa" w:w="2160"/>
          </w:tcPr>
          <w:p>
            <w:r>
              <w:t>3276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5130</w:t>
            </w:r>
          </w:p>
        </w:tc>
        <w:tc>
          <w:tcPr>
            <w:tcW w:type="dxa" w:w="2160"/>
          </w:tcPr>
          <w:p>
            <w:r>
              <w:t>3591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5720</w:t>
            </w:r>
          </w:p>
        </w:tc>
        <w:tc>
          <w:tcPr>
            <w:tcW w:type="dxa" w:w="2160"/>
          </w:tcPr>
          <w:p>
            <w:r>
              <w:t>3947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</w:tr>
    </w:tbl>
    <w:p>
      <w:pPr>
        <w:pStyle w:val="Heading2"/>
      </w:pPr>
      <w:r>
        <w:t>二、区域订单量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订单量(单)</w:t>
            </w:r>
          </w:p>
        </w:tc>
        <w:tc>
          <w:tcPr>
            <w:tcW w:type="dxa" w:w="2880"/>
          </w:tcPr>
          <w:p>
            <w:r>
              <w:t>同比增长</w:t>
            </w:r>
          </w:p>
        </w:tc>
      </w:tr>
      <w:tr>
        <w:tc>
          <w:tcPr>
            <w:tcW w:type="dxa" w:w="2880"/>
          </w:tcPr>
          <w:p>
            <w:r>
              <w:t>华东</w:t>
            </w:r>
          </w:p>
        </w:tc>
        <w:tc>
          <w:tcPr>
            <w:tcW w:type="dxa" w:w="2880"/>
          </w:tcPr>
          <w:p>
            <w:r>
              <w:t>12800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华南</w:t>
            </w:r>
          </w:p>
        </w:tc>
        <w:tc>
          <w:tcPr>
            <w:tcW w:type="dxa" w:w="2880"/>
          </w:tcPr>
          <w:p>
            <w:r>
              <w:t>9600</w:t>
            </w:r>
          </w:p>
        </w:tc>
        <w:tc>
          <w:tcPr>
            <w:tcW w:type="dxa" w:w="2880"/>
          </w:tcPr>
          <w:p>
            <w:r>
              <w:t>9%</w:t>
            </w:r>
          </w:p>
        </w:tc>
      </w:tr>
      <w:tr>
        <w:tc>
          <w:tcPr>
            <w:tcW w:type="dxa" w:w="2880"/>
          </w:tcPr>
          <w:p>
            <w:r>
              <w:t>华北</w:t>
            </w:r>
          </w:p>
        </w:tc>
        <w:tc>
          <w:tcPr>
            <w:tcW w:type="dxa" w:w="2880"/>
          </w:tcPr>
          <w:p>
            <w:r>
              <w:t>7400</w:t>
            </w:r>
          </w:p>
        </w:tc>
        <w:tc>
          <w:tcPr>
            <w:tcW w:type="dxa" w:w="2880"/>
          </w:tcPr>
          <w:p>
            <w:r>
              <w:t>-3%</w:t>
            </w:r>
          </w:p>
        </w:tc>
      </w:tr>
      <w:tr>
        <w:tc>
          <w:tcPr>
            <w:tcW w:type="dxa" w:w="2880"/>
          </w:tcPr>
          <w:p>
            <w:r>
              <w:t>西部</w:t>
            </w:r>
          </w:p>
        </w:tc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</w:tbl>
    <w:p>
      <w:pPr>
        <w:pStyle w:val="Heading2"/>
      </w:pPr>
      <w:r>
        <w:t>三、成本构成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金额(万元)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原材料</w:t>
            </w:r>
          </w:p>
        </w:tc>
        <w:tc>
          <w:tcPr>
            <w:tcW w:type="dxa" w:w="2880"/>
          </w:tcPr>
          <w:p>
            <w:r>
              <w:t>8600</w:t>
            </w:r>
          </w:p>
        </w:tc>
        <w:tc>
          <w:tcPr>
            <w:tcW w:type="dxa" w:w="2880"/>
          </w:tcPr>
          <w:p>
            <w:r>
              <w:t>62%</w:t>
            </w:r>
          </w:p>
        </w:tc>
      </w:tr>
      <w:tr>
        <w:tc>
          <w:tcPr>
            <w:tcW w:type="dxa" w:w="2880"/>
          </w:tcPr>
          <w:p>
            <w:r>
              <w:t>人工</w:t>
            </w:r>
          </w:p>
        </w:tc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t>物流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r>
        <w:t>全年累计营收 19730 万元，整体毛利率提升至 29.8%。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