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员工休假制度</w:t>
      </w:r>
    </w:p>
    <w:p>
      <w:pPr>
        <w:pStyle w:val="Heading2"/>
      </w:pPr>
      <w:r>
        <w:t>一、适用范围</w:t>
      </w:r>
    </w:p>
    <w:p>
      <w:r>
        <w:t>本制度适用于全体员工。年假按自然年计算，可跨年累计不超过 5 天。</w:t>
      </w:r>
    </w:p>
    <w:p>
      <w:pPr>
        <w:pStyle w:val="Heading2"/>
      </w:pPr>
      <w:r>
        <w:t>二、请假流程</w:t>
      </w:r>
    </w:p>
    <w:p>
      <w:r>
        <w:t>请假需提前一天在系统提交申请，由直属主管审批。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请假类型</w:t>
            </w:r>
          </w:p>
        </w:tc>
        <w:tc>
          <w:tcPr>
            <w:tcW w:type="dxa" w:w="4320"/>
          </w:tcPr>
          <w:p>
            <w:r>
              <w:t>审批人</w:t>
            </w:r>
          </w:p>
        </w:tc>
      </w:tr>
      <w:tr>
        <w:tc>
          <w:tcPr>
            <w:tcW w:type="dxa" w:w="4320"/>
          </w:tcPr>
          <w:p>
            <w:r>
              <w:t>年假/事假</w:t>
            </w:r>
          </w:p>
        </w:tc>
        <w:tc>
          <w:tcPr>
            <w:tcW w:type="dxa" w:w="4320"/>
          </w:tcPr>
          <w:p>
            <w:r>
              <w:t>直属主管</w:t>
            </w:r>
          </w:p>
        </w:tc>
      </w:tr>
      <w:tr>
        <w:tc>
          <w:tcPr>
            <w:tcW w:type="dxa" w:w="4320"/>
          </w:tcPr>
          <w:p>
            <w:r>
              <w:t>病假(&gt;3天)</w:t>
            </w:r>
          </w:p>
        </w:tc>
        <w:tc>
          <w:tcPr>
            <w:tcW w:type="dxa" w:w="4320"/>
          </w:tcPr>
          <w:p>
            <w:r>
              <w:t>部门总监</w:t>
            </w:r>
          </w:p>
        </w:tc>
      </w:tr>
    </w:tbl>
    <w:p>
      <w:pPr>
        <w:pStyle w:val="Heading2"/>
      </w:pPr>
      <w:r>
        <w:t>三、附则</w:t>
      </w:r>
    </w:p>
    <w:p>
      <w:r>
        <w:t>本制度自发布之日起试行，解释权归人力资源部。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