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8D03" w14:textId="77777777" w:rsidR="00ED4A4D" w:rsidRPr="002B6C22" w:rsidRDefault="00ED4A4D" w:rsidP="00ED4A4D">
      <w:pPr>
        <w:spacing w:after="0"/>
      </w:pPr>
      <w:r w:rsidRPr="002B6C22">
        <w:rPr>
          <w:b/>
          <w:bCs/>
        </w:rPr>
        <w:t>. Abnahme-Tests (User Acceptance Tests)</w:t>
      </w:r>
    </w:p>
    <w:p w14:paraId="6288A373" w14:textId="77777777" w:rsidR="00ED4A4D" w:rsidRPr="002B6C22" w:rsidRDefault="00ED4A4D" w:rsidP="00ED4A4D">
      <w:pPr>
        <w:spacing w:after="0"/>
      </w:pPr>
      <w:r w:rsidRPr="002B6C22">
        <w:rPr>
          <w:b/>
          <w:bCs/>
        </w:rPr>
        <w:t>Zugeordnete Analyse-Inhalte:</w:t>
      </w:r>
      <w:r w:rsidRPr="002B6C22">
        <w:t xml:space="preserve"> Strategische Kern-Ziele (SKZ-01 bis SKZ-03). </w:t>
      </w:r>
      <w:r w:rsidRPr="002B6C22">
        <w:br/>
      </w:r>
      <w:r w:rsidRPr="002B6C22">
        <w:rPr>
          <w:b/>
          <w:bCs/>
        </w:rPr>
        <w:t>Ziel:</w:t>
      </w:r>
      <w:r w:rsidRPr="002B6C22">
        <w:t xml:space="preserve"> Validierung des Business-Value und der Stakeholder-Zufriedenheit.</w:t>
      </w:r>
    </w:p>
    <w:p w14:paraId="2EF35A2E" w14:textId="77777777" w:rsidR="00ED4A4D" w:rsidRPr="002B6C22" w:rsidRDefault="00ED4A4D" w:rsidP="00ED4A4D">
      <w:pPr>
        <w:numPr>
          <w:ilvl w:val="1"/>
          <w:numId w:val="1"/>
        </w:numPr>
        <w:spacing w:after="0"/>
      </w:pPr>
      <w:r w:rsidRPr="002B6C22">
        <w:rPr>
          <w:b/>
          <w:bCs/>
        </w:rPr>
        <w:t>SKZ-01.1 (Resilienz):</w:t>
      </w:r>
      <w:r w:rsidRPr="002B6C22">
        <w:t xml:space="preserve"> Ist das System in der Lage, in 10 von 10 Testläufen eine vollständige Startsequenz abzuschließen, auch wenn Teildienste künstliche Verzögerungen von bis zu 60 Sekunden aufweisen?</w:t>
      </w:r>
    </w:p>
    <w:p w14:paraId="48D763A9" w14:textId="77777777" w:rsidR="00ED4A4D" w:rsidRPr="002B6C22" w:rsidRDefault="00ED4A4D" w:rsidP="00ED4A4D">
      <w:pPr>
        <w:numPr>
          <w:ilvl w:val="1"/>
          <w:numId w:val="1"/>
        </w:numPr>
        <w:spacing w:after="0"/>
      </w:pPr>
      <w:r w:rsidRPr="002B6C22">
        <w:rPr>
          <w:b/>
          <w:bCs/>
        </w:rPr>
        <w:t>SKZ-01.2 (Effizienz):</w:t>
      </w:r>
      <w:r w:rsidRPr="002B6C22">
        <w:t xml:space="preserve"> Kann ein geschulter Administrator die täglichen Kontrollaufgaben (Statusprüfung) innerhalb der gleichen Zeitspanne wie in der Legacy-Anwendung durchführen?</w:t>
      </w:r>
    </w:p>
    <w:p w14:paraId="0A173924" w14:textId="77777777" w:rsidR="00ED4A4D" w:rsidRPr="002B6C22" w:rsidRDefault="00ED4A4D" w:rsidP="00ED4A4D">
      <w:pPr>
        <w:numPr>
          <w:ilvl w:val="1"/>
          <w:numId w:val="1"/>
        </w:numPr>
        <w:spacing w:after="0"/>
      </w:pPr>
      <w:r w:rsidRPr="002B6C22">
        <w:rPr>
          <w:b/>
          <w:bCs/>
        </w:rPr>
        <w:t>SKZ-01.3 (Verfügbarkeit):</w:t>
      </w:r>
      <w:r w:rsidRPr="002B6C22">
        <w:t xml:space="preserve"> Reduziert der autonome Neustart durch den </w:t>
      </w:r>
      <w:proofErr w:type="spellStart"/>
      <w:r w:rsidRPr="002B6C22">
        <w:t>Watchdog</w:t>
      </w:r>
      <w:proofErr w:type="spellEnd"/>
      <w:r w:rsidRPr="002B6C22">
        <w:t xml:space="preserve"> die Ausfallzeit des DMS-Systems im Vergleich zum manuellen Eingriff nachweislich um mindestens 50%?</w:t>
      </w:r>
    </w:p>
    <w:p w14:paraId="37F7DF63" w14:textId="77777777" w:rsidR="00ED4A4D" w:rsidRPr="002B6C22" w:rsidRDefault="00ED4A4D" w:rsidP="00ED4A4D">
      <w:pPr>
        <w:numPr>
          <w:ilvl w:val="1"/>
          <w:numId w:val="1"/>
        </w:numPr>
        <w:spacing w:after="0"/>
      </w:pPr>
      <w:r w:rsidRPr="002B6C22">
        <w:rPr>
          <w:b/>
          <w:bCs/>
        </w:rPr>
        <w:t>SKZ-02 (Zukunftsfähigkeit):</w:t>
      </w:r>
      <w:r w:rsidRPr="002B6C22">
        <w:t xml:space="preserve"> Ist die Software-Architektur so dokumentiert und modular aufgebaut (SOLID), dass ein neuer Entwickler eine einfache Erweiterung (z.B. ein neues Log-Format) ohne Seiteneffekte implementieren kann?</w:t>
      </w:r>
    </w:p>
    <w:p w14:paraId="3B41B37B" w14:textId="77777777" w:rsidR="00ED4A4D" w:rsidRPr="002B6C22" w:rsidRDefault="00ED4A4D" w:rsidP="00ED4A4D">
      <w:pPr>
        <w:numPr>
          <w:ilvl w:val="1"/>
          <w:numId w:val="1"/>
        </w:numPr>
        <w:spacing w:after="0"/>
      </w:pPr>
      <w:r w:rsidRPr="002B6C22">
        <w:rPr>
          <w:b/>
          <w:bCs/>
        </w:rPr>
        <w:t>SKZ-03 (Demokratisierung):</w:t>
      </w:r>
      <w:r w:rsidRPr="002B6C22">
        <w:t xml:space="preserve"> Kann ein Mitarbeiter ohne Zugriff auf die Server-Konfigurationsdateien allein über die GUI eine vollständige Dienst-Umgebung konfigurieren und erfolgreich starten?</w:t>
      </w:r>
    </w:p>
    <w:p w14:paraId="755DC7A2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55B9"/>
    <w:multiLevelType w:val="multilevel"/>
    <w:tmpl w:val="D78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7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4D"/>
    <w:rsid w:val="0064144E"/>
    <w:rsid w:val="008E6CE8"/>
    <w:rsid w:val="00CE6DFF"/>
    <w:rsid w:val="00D76DE5"/>
    <w:rsid w:val="00ED4A4D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99AD"/>
  <w15:chartTrackingRefBased/>
  <w15:docId w15:val="{981E7854-C446-4BB6-BECE-0D0EB640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4A4D"/>
  </w:style>
  <w:style w:type="paragraph" w:styleId="berschrift1">
    <w:name w:val="heading 1"/>
    <w:basedOn w:val="Standard"/>
    <w:next w:val="Standard"/>
    <w:link w:val="berschrift1Zchn"/>
    <w:uiPriority w:val="9"/>
    <w:qFormat/>
    <w:rsid w:val="00ED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4A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4A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4A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4A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4A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4A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4A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4A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4A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4A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2026-02-26T12:37:00Z</dcterms:created>
  <dcterms:modified xsi:type="dcterms:W3CDTF">2026-02-26T12:38:00Z</dcterms:modified>
</cp:coreProperties>
</file>