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23D4" w14:textId="77777777" w:rsidR="00FD7D13" w:rsidRDefault="005A5B9E" w:rsidP="00B365C7">
      <w:pPr>
        <w:spacing w:line="360" w:lineRule="auto"/>
        <w:ind w:firstLine="720"/>
        <w:rPr>
          <w:rFonts w:eastAsiaTheme="minorHAnsi"/>
          <w:kern w:val="2"/>
          <w:lang w:val="nb-NO"/>
          <w14:ligatures w14:val="standardContextual"/>
        </w:rPr>
      </w:pPr>
      <w:r w:rsidRPr="005328A9">
        <w:rPr>
          <w:rFonts w:eastAsiaTheme="minorHAnsi"/>
          <w:kern w:val="2"/>
          <w14:ligatures w14:val="standardContextual"/>
        </w:rPr>
        <w:t xml:space="preserve">Anxiety disorders, despite their acknowledged burden, remain among the most prevalent </w:t>
      </w:r>
      <w:r w:rsidRPr="00D4034C">
        <w:rPr>
          <w:rFonts w:eastAsiaTheme="minorHAnsi"/>
          <w:kern w:val="2"/>
          <w14:ligatures w14:val="standardContextual"/>
        </w:rPr>
        <w:t>untreated psychiatric conditions</w:t>
      </w:r>
      <w:r>
        <w:rPr>
          <w:rFonts w:eastAsiaTheme="majorEastAsia"/>
          <w:color w:val="000000" w:themeColor="text1"/>
        </w:rPr>
        <w:fldChar w:fldCharType="begin"/>
      </w:r>
      <w:r>
        <w:rPr>
          <w:rFonts w:eastAsiaTheme="majorEastAsia"/>
          <w:color w:val="000000" w:themeColor="text1"/>
        </w:rPr>
        <w:instrText xml:space="preserve"> ADDIN ZOTERO_ITEM CSL_CITATION {"citationID":"0xFZRNDK","properties":{"formattedCitation":"(Bandelow &amp; Michaelis, 2015)","plainCitation":"(Bandelow &amp; Michaelis, 2015)","noteIndex":0},"citationItems":[{"id":211,"uris":["http://zotero.org/users/13126831/items/YGNRKZT6"],"itemData":{"id":211,"type":"article-journal","abstract":"Anxiety disorders, including panic disorder with or without agoraphobia, generalized anxiety disorder, social anxiety disorder, specific phobias, and separation anxiety disorder, are the most prevalent mental disorders and are associated with immense health care costs and a high burden of disease. According to large population-based surveys, up to 33.7% of the population are affected by an anxiety disorder during their lifetime. Substantial underrecognition and undertreatment of these disorders have been demonstrated. There is no evidence that the prevalence rates of anxiety disorders have changed in the past years. In cross-cultural comparisons, prevalence rates are highly variable. It is more likely that this heterogeneity is due to differences in methodology than to cultural influences. Anxiety disorders follow a chronic course; however, there is a natural decrease in prevalence rates with older age. Anxiety disorders are highly comorbid with other anxiety disorders and other mental disorders.","container-title":"Dialogues in Clinical Neuroscience","DOI":"10.31887/DCNS.2015.17.3/bbandelow","ISSN":"null","issue":"3","note":"publisher: Taylor &amp; Francis\n_eprint: https://doi.org/10.31887/DCNS.2015.17.3/bbandelow\nPMID: 26487813","page":"327-335","source":"Taylor and Francis+NEJM","title":"Epidemiology of anxiety disorders in the 21st century","volume":"17","author":[{"family":"Bandelow","given":"Borwin"},{"family":"Michaelis","given":"Sophie"}],"issued":{"date-parts":[["2015",9,30]]}}}],"schema":"https://github.com/citation-style-language/schema/raw/master/csl-citation.json"}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(Bandelow &amp; Michaelis, 2015)</w:t>
      </w:r>
      <w:r>
        <w:rPr>
          <w:rFonts w:eastAsiaTheme="majorEastAsia"/>
          <w:color w:val="000000" w:themeColor="text1"/>
        </w:rPr>
        <w:fldChar w:fldCharType="end"/>
      </w:r>
      <w:r w:rsidRPr="00D4034C">
        <w:rPr>
          <w:rFonts w:eastAsiaTheme="minorHAnsi"/>
          <w:kern w:val="2"/>
          <w14:ligatures w14:val="standardContextual"/>
        </w:rPr>
        <w:t>.</w:t>
      </w:r>
      <w:r>
        <w:rPr>
          <w:rFonts w:eastAsiaTheme="minorHAnsi"/>
          <w:kern w:val="2"/>
          <w14:ligatures w14:val="standardContextual"/>
        </w:rPr>
        <w:t xml:space="preserve"> </w:t>
      </w:r>
      <w:r w:rsidRPr="00D47CBB">
        <w:rPr>
          <w:rFonts w:eastAsiaTheme="majorEastAsia"/>
          <w:color w:val="000000" w:themeColor="text1"/>
        </w:rPr>
        <w:t xml:space="preserve">Nearly one in three adolescents suffer from anxiety disorders, making it the most common mental </w:t>
      </w:r>
      <w:r w:rsidR="00FD7D13">
        <w:rPr>
          <w:rFonts w:eastAsiaTheme="majorEastAsia"/>
          <w:color w:val="000000" w:themeColor="text1"/>
        </w:rPr>
        <w:t xml:space="preserve">health issue </w:t>
      </w:r>
      <w:r w:rsidRPr="00D47CBB">
        <w:rPr>
          <w:rFonts w:eastAsiaTheme="majorEastAsia"/>
          <w:color w:val="000000" w:themeColor="text1"/>
        </w:rPr>
        <w:t>in this age group</w:t>
      </w:r>
      <w:r>
        <w:rPr>
          <w:rFonts w:eastAsiaTheme="majorEastAsia"/>
          <w:color w:val="000000" w:themeColor="text1"/>
        </w:rPr>
        <w:t xml:space="preserve"> </w:t>
      </w:r>
      <w:r>
        <w:rPr>
          <w:rFonts w:eastAsiaTheme="majorEastAsia"/>
          <w:color w:val="000000" w:themeColor="text1"/>
        </w:rPr>
        <w:fldChar w:fldCharType="begin"/>
      </w:r>
      <w:r>
        <w:rPr>
          <w:rFonts w:eastAsiaTheme="majorEastAsia"/>
          <w:color w:val="000000" w:themeColor="text1"/>
        </w:rPr>
        <w:instrText xml:space="preserve"> ADDIN ZOTERO_ITEM CSL_CITATION {"citationID":"MhUhkcEz","properties":{"formattedCitation":"(Merikangas et al., 2010)","plainCitation":"(Merikangas et al., 2010)","noteIndex":0},"citationItems":[{"id":3026,"uris":["http://zotero.org/users/13126831/items/AQPN5WM4"],"itemData":{"id":3026,"type":"article-journal","abstract":"Objective To present estimates of the lifetime prevalence of DSM-IV mental disorders with and without severe impairment, their comorbidity across broad classes of disorder, and their sociodemographic correlates. Method The National Comorbidity Survey–Adolescent Supplement NCS-A is a nationally representative face-to-face survey of 10,123 adolescents aged 13 to 18 years in the continental United States. DSM-IV mental disorders were assessed using a modified version of the fully structured World Health Organization Composite International Diagnostic Interview. Results Anxiety disorders were the most common condition (31.9%), followed by behavior disorders (19.1%), mood disorders (14.3%), and substance use disorders (11.4%), with approximately 40% of participants with one class of disorder also meeting criteria for another class of lifetime disorder. The overall prevalence of disorders with severe impairment and/or distress was 22.2% (11.2% with mood disorders, 8.3% with anxiety disorders, and 9.6% behavior disorders). The median age of onset for disorder classes was earliest for anxiety (6 years), followed by 11 years for behavior, 13 years for mood, and 15 years for substance use disorders. Conclusions These findings provide the first prevalence data on a broad range of mental disorders in a nationally representative sample of U.S. adolescents. Approximately one in every four to five youth in the U.S. meets criteria for a mental disorder with severe impairment across their lifetime. The likelihood that common mental disorders in adults first emerge in childhood and adolescence highlights the need for a transition from the common focus on treatment of U.S. youth to that of prevention and early intervention.","container-title":"J Am Acad Child Adolesc Psychiatry","DOI":"10.1016/j.jaac.2010.05.017","ISSN":"0890-8567","issue":"10","note":"publisher-place: Maryland Heights, MO\npublisher: Maryland Heights, MO: Elsevier Inc","page":"980-989","title":"Lifetime Prevalence of Mental Disorders in U.S. Adolescents: Results from the National Comorbidity Survey Replication–Adolescent Supplement (NCS-A)","volume":"49","author":[{"family":"Merikangas","given":"Kathleen Ries","suffix":"Ph.D"},{"family":"He","given":"Jian-ping","suffix":"M.Sc"},{"family":"Burstein","given":"Marcy","suffix":"Ph.D"},{"family":"Swanson","given":"Sonja A.","suffix":"Sc.M"},{"family":"Avenevoli","given":"Shelli","suffix":"Ph.D"},{"family":"Cui","given":"Lihong","suffix":"M.Sc"},{"family":"Benjet","given":"Corina","suffix":"Ph.D"},{"family":"Georgiades","given":"Katholiki","suffix":"Ph.D"},{"family":"Swendsen","given":"Joel","suffix":"Ph.D"}],"issued":{"date-parts":[["2010"]]}}}],"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(Merikangas et al., 2010)</w:t>
      </w:r>
      <w:r>
        <w:rPr>
          <w:rFonts w:eastAsiaTheme="majorEastAsia"/>
          <w:color w:val="000000" w:themeColor="text1"/>
        </w:rPr>
        <w:fldChar w:fldCharType="end"/>
      </w:r>
      <w:r w:rsidRPr="00D47CBB">
        <w:rPr>
          <w:rFonts w:eastAsiaTheme="majorEastAsia"/>
          <w:color w:val="000000" w:themeColor="text1"/>
        </w:rPr>
        <w:t>. </w:t>
      </w:r>
      <w:r w:rsidRPr="00D4034C">
        <w:t xml:space="preserve">While less obvious than bipolar disorder, depression, and schizophrenia, </w:t>
      </w:r>
      <w:r w:rsidR="00FD7D13" w:rsidRPr="005C3E0F">
        <w:rPr>
          <w:rFonts w:eastAsiaTheme="majorEastAsia"/>
          <w:color w:val="000000" w:themeColor="text1"/>
        </w:rPr>
        <w:t xml:space="preserve">anxiety disorders can be equally debilitating </w:t>
      </w:r>
      <w:r>
        <w:rPr>
          <w:rFonts w:eastAsiaTheme="minorHAnsi"/>
          <w:color w:val="156082" w:themeColor="accent1"/>
          <w:kern w:val="2"/>
          <w14:ligatures w14:val="standardContextual"/>
        </w:rPr>
        <w:fldChar w:fldCharType="begin"/>
      </w:r>
      <w:r w:rsidR="00CC7E43">
        <w:rPr>
          <w:rFonts w:eastAsiaTheme="minorHAnsi"/>
          <w:color w:val="156082" w:themeColor="accent1"/>
          <w:kern w:val="2"/>
          <w14:ligatures w14:val="standardContextual"/>
        </w:rPr>
        <w:instrText xml:space="preserve"> ADDIN ZOTERO_ITEM CSL_CITATION {"citationID":"5el5yNvr","properties":{"formattedCitation":"(Bystritsky et al., 2013)","plainCitation":"(Bystritsky et al., 2013)","noteIndex":0},"citationItems":[{"id":265,"uris":["http://zotero.org/users/13126831/items/9KVCBXL2"],"itemData":{"id":265,"type":"article-journal","abstract":"Anxiety disorders are the most prevalent mental health conditions. Although they are less visible than schizophrenia, depression, and bipolar disorder, they can be just as disabling. The diagnoses of anxiety disorders are being continuously revised. Both dimensional and structural diagnoses have been used in clinical treatment and research, and both methods have been proposed for the new classification in the Diagnostic and Statistical Manual of Mental Disorders IV (DSM-5). However, each of these approaches has limitations. More recently, the emphasis in diagnosis has focused on neuroimaging and genetic research. This approach is based partly on the need for a more comprehensive understanding of how biology, stress, and genetics interact to shape the symptoms of anxiety., Anxiety disorders can be effectively treated with psychopharmacological and cognitive–behavioral interventions. These inter ventions have different symptom targets; thus, logical combinations of these strategies need to be further studied in order to improve future outcomes. New developments are forthcoming in the field of alternative strategies for managing anxiety and for treatment-resistant cases. Additional treatment enhancements should include the development of algorithms that can be easily used in primary care and with greater focus on managing functional impairment in patients with anxiety.","container-title":"Pharmacy and Therapeutics","ISSN":"1052-1372","issue":"1","journalAbbreviation":"P T","note":"PMID: 23599668\nPMCID: PMC3628173","page":"30-57","source":"PubMed Central","title":"Current Diagnosis and Treatment of Anxiety Disorders","volume":"38","author":[{"family":"Bystritsky","given":"Alexander"},{"family":"Khalsa","given":"Sahib S."},{"family":"Cameron","given":"Michael E."},{"family":"Schiffman","given":"Jason"}],"issued":{"date-parts":[["2013",1]]}}}],"schema":"https://github.com/citation-style-language/schema/raw/master/csl-citation.json"} </w:instrText>
      </w:r>
      <w:r>
        <w:rPr>
          <w:rFonts w:eastAsiaTheme="minorHAnsi"/>
          <w:color w:val="156082" w:themeColor="accent1"/>
          <w:kern w:val="2"/>
          <w14:ligatures w14:val="standardContextual"/>
        </w:rPr>
        <w:fldChar w:fldCharType="separate"/>
      </w:r>
      <w:r w:rsidR="00CC7E43">
        <w:t>(Bystritsky et al., 2013)</w:t>
      </w:r>
      <w:r>
        <w:rPr>
          <w:rFonts w:eastAsiaTheme="minorHAnsi"/>
          <w:color w:val="156082" w:themeColor="accent1"/>
          <w:kern w:val="2"/>
          <w14:ligatures w14:val="standardContextual"/>
        </w:rPr>
        <w:fldChar w:fldCharType="end"/>
      </w:r>
      <w:r w:rsidRPr="00D4034C">
        <w:t xml:space="preserve">. </w:t>
      </w:r>
      <w:r>
        <w:t>Reduced</w:t>
      </w:r>
      <w:r w:rsidRPr="00D4034C">
        <w:t xml:space="preserve"> productivity, higher rates of sickness and death, and the rise in drug and alcohol abuse among a significant portion of the population can </w:t>
      </w:r>
      <w:r w:rsidRPr="00DA54E5">
        <w:t xml:space="preserve">all be attributed to anxiety disorders </w:t>
      </w:r>
      <w:r w:rsidRPr="00DA54E5">
        <w:fldChar w:fldCharType="begin"/>
      </w:r>
      <w:r w:rsidR="00CC7E43">
        <w:instrText xml:space="preserve"> ADDIN ZOTERO_ITEM CSL_CITATION {"citationID":"caGEaR1U","properties":{"formattedCitation":"(Bystritsky et al., 2013; Koen &amp; Stein, 2011; Leon et al., 1995; Loeb et al., 2012)","plainCitation":"(Bystritsky et al., 2013; Koen &amp; Stein, 2011; Leon et al., 1995; Loeb et al., 2012)","noteIndex":0},"citationItems":[{"id":265,"uris":["http://zotero.org/users/13126831/items/9KVCBXL2"],"itemData":{"id":265,"type":"article-journal","abstract":"Anxiety disorders are the most prevalent mental health conditions. Although they are less visible than schizophrenia, depression, and bipolar disorder, they can be just as disabling. The diagnoses of anxiety disorders are being continuously revised. Both dimensional and structural diagnoses have been used in clinical treatment and research, and both methods have been proposed for the new classification in the Diagnostic and Statistical Manual of Mental Disorders IV (DSM-5). However, each of these approaches has limitations. More recently, the emphasis in diagnosis has focused on neuroimaging and genetic research. This approach is based partly on the need for a more comprehensive understanding of how biology, stress, and genetics interact to shape the symptoms of anxiety., Anxiety disorders can be effectively treated with psychopharmacological and cognitive–behavioral interventions. These inter ventions have different symptom targets; thus, logical combinations of these strategies need to be further studied in order to improve future outcomes. New developments are forthcoming in the field of alternative strategies for managing anxiety and for treatment-resistant cases. Additional treatment enhancements should include the development of algorithms that can be easily used in primary care and with greater focus on managing functional impairment in patients with anxiety.","container-title":"Pharmacy and Therapeutics","ISSN":"1052-1372","issue":"1","journalAbbreviation":"P T","note":"PMID: 23599668\nPMCID: PMC3628173","page":"30-57","source":"PubMed Central","title":"Current Diagnosis and Treatment of Anxiety Disorders","volume":"38","author":[{"family":"Bystritsky","given":"Alexander"},{"family":"Khalsa","given":"Sahib S."},{"family":"Cameron","given":"Michael E."},{"family":"Schiffman","given":"Jason"}],"issued":{"date-parts":[["2013",1]]}}},{"id":263,"uris":["http://zotero.org/users/13126831/items/MUBBB7AL"],"itemData":{"id":263,"type":"article-journal","abstract":"Background.\n              The social costs of anxiety disorders, which afflict a substantial proportion of the general population in the United States, are considered.\n            \n            \n              Method.\n              Data from the National Institute of Mental Health (NIMH) Epidemiological Catchment Area Program were analysed.\n            \n            \n              Results.\n              Over 6% of men and 13% of women in the sample of 18 571 had suffered from a DSM–III anxiety disorder in the past six months. Nearly 30% of those with panic disorder had used the general medical system for emotional, alcohol or drug-related problems in the six months prior to the interview. Those with anxiety disorders were also more likely to seek help from emergency rooms and from the specialised mental health system. Men with panic disorder, phobias or obsessive–compulsive disorder in the previous six months are more likely to be chronically unemployed and to receive disability or welfare.\n            \n            \n              Discussion.\n              Once correctly diagnosed there are safe and effective psychopharmacologic and behavioural treatments for the anxiety disorders. Nevertheless the burden of anxiety disorders extends beyond the direct costs of treatment to the indirect costs of impaired social functioning.","container-title":"British Journal of Psychiatry","DOI":"10.1192/S0007125000293355","ISSN":"0007-1250, 1472-1465","issue":"S27","journalAbbreviation":"Br J Psychiatry","language":"en","page":"19-22","source":"DOI.org (Crossref)","title":"The Social Costs of Anxiety Disorders","volume":"166","author":[{"family":"Leon","given":"Andrew C."},{"family":"Portera","given":"Laura"},{"family":"Weissman","given":"Myrna M."}],"issued":{"date-parts":[["1995",4]]}}},{"id":269,"uris":["http://zotero.org/users/13126831/items/RPRGLGGA"],"itemData":{"id":269,"type":"article-journal","abstract":"Mental illness is common and associated with poor outcomes for co-occurring medical illness. Since primary care physicians manage the treatment of complex patients with both mental and medical illnesses, their perspectives on the care of these patients is vital to improving clinical outcomes.","container-title":"Journal of General Internal Medicine","DOI":"10.1007/s11606-012-2005-9","ISSN":"1525-1497","issue":"8","journalAbbreviation":"J GEN INTERN MED","language":"en","page":"945-952","source":"Springer Link","title":"Primary Care Physician Perceptions on Caring for Complex Patients with Medical and Mental Illness","volume":"27","author":[{"family":"Loeb","given":"Danielle F."},{"family":"Bayliss","given":"Elizabeth A."},{"family":"Binswanger","given":"Ingrid A."},{"family":"Candrian","given":"Carey"},{"family":"deGruy","given":"Frank V."}],"issued":{"date-parts":[["2012",8,1]]}}},{"id":191,"uris":["http://zotero.org/users/13126831/items/BXQQJTMV"],"itemData":{"id":191,"type":"article-journal","abstract":"Given the enormous contribution of anxiety disorders to the burden of disease, it is key to optimize their prevention and treatment. In this critical review we assess advances in the pharmacotherapy of anxiety disorders, as well as remaining challenges, in recent decades, the field has seen rigorous clinical trial methods to quantify the efficacy and safety of serendipitously discovered</w:instrText>
      </w:r>
      <w:r w:rsidR="00CC7E43" w:rsidRPr="00CC7E43">
        <w:rPr>
          <w:lang w:val="nb-NO"/>
        </w:rPr>
        <w:instrText xml:space="preserve"> agents, more focused development of medications with selective mechanisms of action, and the gradual translation of insights from laboratory research into proof-of-principle clinical trials. On the positive side, a considerable database of studies shows efficacy and relative tolerability of the selective serotonin reuptake inhibitors in the major anxiety disorders, and secondary analyses of such datasets have informed questions such as optimal definition of response and remission, optimal dose and duration, and comparative efficacy of different agents. Significant challenges in the field include barriers to appropriate diagnosis and treatment of anxiety disorders, failure of a significant proportion of patients to respond to first-line pharmacotherapy agents, and a limited database of efficacy or effectiveness studies to guide treatment in such cases.","container-title":"Dialogues in Clinical Neuroscience","DOI":"10.31887/DCNS.2011.13.4/nkoen","ISSN":"null","issue":"4","note":"publisher: Taylor &amp; Francis\n_eprint: https://doi.org/10.31887/DCNS.2011.13.4/nkoen\nPMID: 22275848","page":"423-437","source":"Taylor and Francis+NEJM","title":"Pharmacotherapy of anxiety disorders: a critical review","title-short":"Pharmacotherapy of anxiety disorders","volume":"13","author":[{"family":"Koen","given":"Nastassja"},{"family":"Stein","given":"Dan J."}],"issued":{"date-parts":[["2011",12,31]]}}}],"schema":"https://github.com/citation-style-language/schema/raw/master/csl-citation.json"} </w:instrText>
      </w:r>
      <w:r w:rsidRPr="00DA54E5">
        <w:fldChar w:fldCharType="separate"/>
      </w:r>
      <w:r w:rsidR="00CC7E43">
        <w:rPr>
          <w:lang w:val="nb-NO"/>
        </w:rPr>
        <w:t>(Bystritsky et al., 2013; Koen &amp; Stein, 2011; Leon et al., 1995; Loeb et al., 2012)</w:t>
      </w:r>
      <w:r w:rsidRPr="00DA54E5">
        <w:fldChar w:fldCharType="end"/>
      </w:r>
      <w:r w:rsidRPr="005A5B9E">
        <w:rPr>
          <w:lang w:val="nb-NO"/>
        </w:rPr>
        <w:t xml:space="preserve">. </w:t>
      </w:r>
      <w:r w:rsidR="00B71A1B" w:rsidRPr="00B71A1B">
        <w:rPr>
          <w:rFonts w:eastAsiaTheme="minorHAnsi"/>
          <w:kern w:val="2"/>
          <w:lang w:val="nb-NO"/>
          <w14:ligatures w14:val="standardContextual"/>
        </w:rPr>
        <w:t> </w:t>
      </w:r>
    </w:p>
    <w:p w14:paraId="4603B809" w14:textId="0B9FF0F8" w:rsidR="00F36B23" w:rsidRDefault="00B71A1B" w:rsidP="00B365C7">
      <w:pPr>
        <w:spacing w:line="360" w:lineRule="auto"/>
        <w:ind w:firstLine="720"/>
        <w:rPr>
          <w:rFonts w:eastAsiaTheme="minorHAnsi"/>
          <w:kern w:val="2"/>
          <w14:ligatures w14:val="standardContextual"/>
        </w:rPr>
      </w:pPr>
      <w:r w:rsidRPr="00B71A1B">
        <w:rPr>
          <w:rFonts w:eastAsiaTheme="minorHAnsi"/>
          <w:kern w:val="2"/>
          <w14:ligatures w14:val="standardContextual"/>
        </w:rPr>
        <w:t>The term "anxiety" encompasses a wide range of specific mental challenges, complicating its conceptualization and description. </w:t>
      </w:r>
      <w:r w:rsidR="005A5B9E" w:rsidRPr="002B1B2E">
        <w:rPr>
          <w:rFonts w:eastAsiaTheme="minorHAnsi"/>
          <w:kern w:val="2"/>
          <w14:ligatures w14:val="standardContextual"/>
        </w:rPr>
        <w:t xml:space="preserve">Anxiety disorders, such as separation anxiety disorder, generalized anxiety disorder (GAD), panic disorder, social anxiety disorder (SAD), specific phobias, and post-traumatic stress disorder (PTSD), exhibit different prevalence rates and symptom presentations </w:t>
      </w:r>
      <w:r w:rsidR="005A5B9E">
        <w:rPr>
          <w:rFonts w:eastAsiaTheme="minorHAnsi"/>
          <w:kern w:val="2"/>
          <w14:ligatures w14:val="standardContextual"/>
        </w:rPr>
        <w:fldChar w:fldCharType="begin"/>
      </w:r>
      <w:r w:rsidR="00CC7E43">
        <w:rPr>
          <w:rFonts w:eastAsiaTheme="minorHAnsi"/>
          <w:kern w:val="2"/>
          <w14:ligatures w14:val="standardContextual"/>
        </w:rPr>
        <w:instrText xml:space="preserve"> ADDIN ZOTERO_ITEM CSL_CITATION {"citationID":"CdDPwR0X","properties":{"formattedCitation":"(Kessler et al., 2010)","plainCitation":"(Kessler et al., 2010)","noteIndex":0},"citationItems":[{"id":172,"uris":["http://zotero.org/users/13126831/items/AKYTYGZ7"],"itemData":{"id":172,"type":"chapter","abstract":"This chapter presents an overview of the descriptive epidemiology of anxiety disorders based on recently completed surveys of the general population. The overall prevalence of anxiety disorders is shown to be quite high, but with considerable variation from the most prevalent (specific phobias) to the least prevalent (agoraphobia without a history of panic disorder) disorders. Age-of-onset (AOO) of anxiety disorders is typically in childhood or adolescence and the course is often chronic-recurrent. Anxiety disorders are highly comorbid with each other and with other mental disorders. Because of their early AOO, they are often the temporally primary disorders in comorbid profiles, raising the question whether early interventions to treat anxiety disorders might have a positive effect on the onset, persistence, or severity of secondary disorders such as mood and substance use disorders. This possibility has not yet been extensively explored but warrants further study given the high societal costs of anxiety disorders.","collection-title":"Current Topics in Behavioral Neurosciences","container-title":"Behavioral Neurobiology of Anxiety and Its Treatment","event-place":"Berlin, Heidelberg","ISBN":"978-3-642-02912-7","language":"en","note":"DOI: 10.1007/7854_2009_9","page":"21-35","publisher":"Springer","publisher-place":"Berlin, Heidelberg","source":"Springer Link","title":"Epidemiology of Anxiety Disorders","URL":"https://doi.org/10.1007/7854_2009_9","author":[{"family":"Kessler","given":"Ronald C."},{"family":"Ruscio","given":"Ayelet Meron"},{"family":"Shear","given":"Katherine"},{"family":"Wittchen","given":"Hans-Ulrich"}],"editor":[{"family":"Stein","given":"Murray B."},{"family":"Steckler","given":"Thomas"}],"accessed":{"date-parts":[["2023",11,29]]},"issued":{"date-parts":[["2010"]]}}}],"schema":"https://github.com/citation-style-language/schema/raw/master/csl-citation.json"} </w:instrText>
      </w:r>
      <w:r w:rsidR="005A5B9E">
        <w:rPr>
          <w:rFonts w:eastAsiaTheme="minorHAnsi"/>
          <w:kern w:val="2"/>
          <w14:ligatures w14:val="standardContextual"/>
        </w:rPr>
        <w:fldChar w:fldCharType="separate"/>
      </w:r>
      <w:r w:rsidR="00CC7E43">
        <w:t>(Kessler et al., 2010)</w:t>
      </w:r>
      <w:r w:rsidR="005A5B9E">
        <w:rPr>
          <w:rFonts w:eastAsiaTheme="minorHAnsi"/>
          <w:kern w:val="2"/>
          <w14:ligatures w14:val="standardContextual"/>
        </w:rPr>
        <w:fldChar w:fldCharType="end"/>
      </w:r>
      <w:r w:rsidR="005A5B9E">
        <w:rPr>
          <w:rFonts w:eastAsiaTheme="minorHAnsi"/>
          <w:kern w:val="2"/>
          <w14:ligatures w14:val="standardContextual"/>
        </w:rPr>
        <w:t xml:space="preserve">. </w:t>
      </w:r>
      <w:r w:rsidR="005A5B9E" w:rsidRPr="002B1B2E">
        <w:rPr>
          <w:rFonts w:eastAsiaTheme="minorHAnsi"/>
          <w:kern w:val="2"/>
          <w14:ligatures w14:val="standardContextual"/>
        </w:rPr>
        <w:t>Additionally, the comorbidity between anxiety disorders and other mental health conditions further adds to the</w:t>
      </w:r>
      <w:r>
        <w:rPr>
          <w:rFonts w:eastAsiaTheme="minorHAnsi"/>
          <w:kern w:val="2"/>
          <w14:ligatures w14:val="standardContextual"/>
        </w:rPr>
        <w:t xml:space="preserve"> phenotype’s</w:t>
      </w:r>
      <w:r w:rsidR="005A5B9E" w:rsidRPr="002B1B2E">
        <w:rPr>
          <w:rFonts w:eastAsiaTheme="minorHAnsi"/>
          <w:kern w:val="2"/>
          <w14:ligatures w14:val="standardContextual"/>
        </w:rPr>
        <w:t xml:space="preserve"> </w:t>
      </w:r>
      <w:r w:rsidR="00F36B23" w:rsidRPr="002B1B2E">
        <w:rPr>
          <w:rFonts w:eastAsiaTheme="minorHAnsi"/>
          <w:kern w:val="2"/>
          <w14:ligatures w14:val="standardContextual"/>
        </w:rPr>
        <w:t>intricacy</w:t>
      </w:r>
      <w:r w:rsidR="00851784">
        <w:rPr>
          <w:rFonts w:eastAsiaTheme="minorHAnsi"/>
          <w:kern w:val="2"/>
          <w14:ligatures w14:val="standardContextual"/>
        </w:rPr>
        <w:t xml:space="preserve"> </w:t>
      </w:r>
      <w:r w:rsidR="00851784">
        <w:rPr>
          <w:rFonts w:eastAsiaTheme="minorHAnsi"/>
          <w:kern w:val="2"/>
          <w14:ligatures w14:val="standardContextual"/>
        </w:rPr>
        <w:fldChar w:fldCharType="begin"/>
      </w:r>
      <w:r w:rsidR="00851784">
        <w:rPr>
          <w:rFonts w:eastAsiaTheme="minorHAnsi"/>
          <w:kern w:val="2"/>
          <w14:ligatures w14:val="standardContextual"/>
        </w:rPr>
        <w:instrText xml:space="preserve"> ADDIN ZOTERO_ITEM CSL_CITATION {"citationID":"BTzLneGx","properties":{"formattedCitation":"(Kessler et al., 2010)","plainCitation":"(Kessler et al., 2010)","noteIndex":0},"citationItems":[{"id":172,"uris":["http://zotero.org/users/13126831/items/AKYTYGZ7"],"itemData":{"id":172,"type":"chapter","abstract":"This chapter presents an overview of the descriptive epidemiology of anxiety disorders based on recently completed surveys of the general population. The overall prevalence of anxiety disorders is shown to be quite high, but with considerable variation from the most prevalent (specific phobias) to the least prevalent (agoraphobia without a history of panic disorder) disorders. Age-of-onset (AOO) of anxiety disorders is typically in childhood or adolescence and the course is often chronic-recurrent. Anxiety disorders are highly comorbid with each other and with other mental disorders. Because of their early AOO, they are often the temporally primary disorders in comorbid profiles, raising the question whether early interventions to treat anxiety disorders might have a positive effect on the onset, persistence, or severity of secondary disorders such as mood and substance use disorders. This possibility has not yet been extensively explored but warrants further study given the high societal costs of anxiety disorders.","collection-title":"Current Topics in Behavioral Neurosciences","container-title":"Behavioral Neurobiology of Anxiety and Its Treatment","event-place":"Berlin, Heidelberg","ISBN":"978-3-642-02912-7","language":"en","note":"DOI: 10.1007/7854_2009_9","page":"21-35","publisher":"Springer","publisher-place":"Berlin, Heidelberg","source":"Springer Link","title":"Epidemiology of Anxiety Disorders","URL":"https://doi.org/10.1007/7854_2009_9","author":[{"family":"Kessler","given":"Ronald C."},{"family":"Ruscio","given":"Ayelet Meron"},{"family":"Shear","given":"Katherine"},{"family":"Wittchen","given":"Hans-Ulrich"}],"editor":[{"family":"Stein","given":"Murray B."},{"family":"Steckler","given":"Thomas"}],"accessed":{"date-parts":[["2023",11,29]]},"issued":{"date-parts":[["2010"]]}}}],"schema":"https://github.com/citation-style-language/schema/raw/master/csl-citation.json"} </w:instrText>
      </w:r>
      <w:r w:rsidR="00851784">
        <w:rPr>
          <w:rFonts w:eastAsiaTheme="minorHAnsi"/>
          <w:kern w:val="2"/>
          <w14:ligatures w14:val="standardContextual"/>
        </w:rPr>
        <w:fldChar w:fldCharType="separate"/>
      </w:r>
      <w:r w:rsidR="00851784">
        <w:t>(Kessler et al., 2010)</w:t>
      </w:r>
      <w:r w:rsidR="00851784">
        <w:rPr>
          <w:rFonts w:eastAsiaTheme="minorHAnsi"/>
          <w:kern w:val="2"/>
          <w14:ligatures w14:val="standardContextual"/>
        </w:rPr>
        <w:fldChar w:fldCharType="end"/>
      </w:r>
      <w:r w:rsidR="005A5B9E" w:rsidRPr="002B1B2E">
        <w:rPr>
          <w:rFonts w:eastAsiaTheme="minorHAnsi"/>
          <w:kern w:val="2"/>
          <w14:ligatures w14:val="standardContextual"/>
        </w:rPr>
        <w:t xml:space="preserve">. With such diverse manifestations and overlapping features, effectively understanding, explaining, and treating anxiety becomes a </w:t>
      </w:r>
      <w:r w:rsidR="00F36B23" w:rsidRPr="002B1B2E">
        <w:rPr>
          <w:rFonts w:eastAsiaTheme="minorHAnsi"/>
          <w:kern w:val="2"/>
          <w14:ligatures w14:val="standardContextual"/>
        </w:rPr>
        <w:t>difficult</w:t>
      </w:r>
      <w:r w:rsidR="005A5B9E" w:rsidRPr="002B1B2E">
        <w:rPr>
          <w:rFonts w:eastAsiaTheme="minorHAnsi"/>
          <w:kern w:val="2"/>
          <w14:ligatures w14:val="standardContextual"/>
        </w:rPr>
        <w:t xml:space="preserve"> task for researchers, clinicians, and</w:t>
      </w:r>
      <w:r w:rsidR="00FD7D13">
        <w:rPr>
          <w:rFonts w:eastAsiaTheme="minorHAnsi"/>
          <w:kern w:val="2"/>
          <w14:ligatures w14:val="standardContextual"/>
        </w:rPr>
        <w:t xml:space="preserve"> those affected by these conditions.</w:t>
      </w:r>
      <w:r w:rsidR="00F36B23">
        <w:rPr>
          <w:rFonts w:eastAsiaTheme="minorHAnsi"/>
          <w:kern w:val="2"/>
          <w14:ligatures w14:val="standardContextual"/>
        </w:rPr>
        <w:t xml:space="preserve"> </w:t>
      </w:r>
    </w:p>
    <w:p w14:paraId="79B7AC4F" w14:textId="0B013DC0" w:rsidR="00FD7D13" w:rsidRPr="005C3E0F" w:rsidRDefault="00FD7D13" w:rsidP="00B365C7">
      <w:pPr>
        <w:spacing w:line="360" w:lineRule="auto"/>
        <w:ind w:firstLine="720"/>
        <w:rPr>
          <w:rFonts w:eastAsiaTheme="majorEastAsia"/>
          <w:color w:val="000000" w:themeColor="text1"/>
        </w:rPr>
      </w:pPr>
      <w:r w:rsidRPr="005C3E0F">
        <w:rPr>
          <w:rFonts w:eastAsiaTheme="majorEastAsia"/>
          <w:color w:val="000000" w:themeColor="text1"/>
        </w:rPr>
        <w:t xml:space="preserve">Evaluating anxiety symptomatology in adolescents presents numerous challenges. It is well-documented that a combination of biological, psychological, and sociocultural factors can influence the risk and resilience for developing maladaptive responses to social or environmental contexts </w:t>
      </w:r>
      <w:r w:rsidRPr="00B07394">
        <w:rPr>
          <w:rFonts w:eastAsiaTheme="majorEastAsia"/>
          <w:color w:val="000000" w:themeColor="text1"/>
        </w:rPr>
        <w:fldChar w:fldCharType="begin"/>
      </w:r>
      <w:r w:rsidRPr="00B07394">
        <w:rPr>
          <w:rFonts w:eastAsiaTheme="majorEastAsia"/>
          <w:color w:val="000000" w:themeColor="text1"/>
        </w:rPr>
        <w:instrText xml:space="preserve"> ADDIN ZOTERO_ITEM CSL_CITATION {"citationID":"qGieZRTn","properties":{"formattedCitation":"(Luthar et al., 2000; Sanislow et al., 2010)","plainCitation":"(Luthar et al., 2000; Sanislow et al., 2010)","noteIndex":0},"citationItems":[{"id":2926,"uris":["http://zotero.org/users/13126831/items/TSAPTU83"],"itemData":{"id":2926,"type":"article-journal","abstract":"This paper presents a critical appraisal of resilience, a construct connoting the maintenance of positive adaptation by individuals despite experiences of significant adversity. As empirical research on resilience has burgeoned in recent years, criticisms have been levied at work in this area. These critiques have generally focused on ambiguities in definitions and central terminology; heterogeneity in risks experienced and competence achieved by individuals viewed as resilient; instability of the phenomenon of resilience; and concerns regarding the usefulness of resilience as a theoretical construct. We address each identified criticism in turn, proposing solutions for those we view as legitimate and clarifying misunderstandings surrounding those we believe to be less valid. We conclude that work on resilience possesses substantial potential for augmenting the understanding of processes affecting at-risk individuals. Realization of the potential embodied by this construct, however, will remain constrained without continued scientific attention to some of the serious conceptual and methodological pitfalls that have been noted by skeptics and proponents alike.","container-title":"Child Development","DOI":"10.1111/1467-8624.00164","ISSN":"1467-8624","issue":"3","language":"en","note":"_eprint: https://onlinelibrary.wiley.com/doi/pdf/10.1111/1467-8624.00164","page":"543-562","source":"Wiley Online Library","title":"The Construct of Resilience: A Critical Evaluation and Guidelines for Future Work","title-short":"The Construct of Resilience","volume":"71","author":[{"family":"Luthar","given":"Suniya S."},{"family":"Cicchetti","given":"Dante"},{"family":"Becker","given":"Bronwyn"}],"issued":{"date-parts":[["2000"]]}}},{"id":2924,"uris":["http://zotero.org/users/13126831/items/A42LWTS3"],"itemData":{"id":2924,"type":"article-journal","container-title":"Journal of Abnormal Psychology","DOI":"10.1037/a0020909","ISSN":"1939-1846, 0021-843X","issue":"4","journalAbbreviation":"Journal of Abnormal Psychology","language":"en","page":"631-639","source":"DOI.org (Crossref)","title":"Developing constructs for psychopathology research: Research domain criteria.","title-short":"Developing constructs for psychopathology research","volume":"119","author":[{"family":"Sanislow","given":"Charles A."},{"family":"Pine","given":"Daniel S."},{"family":"Quinn","given":"Kevin J."},{"family":"Kozak","given":"Michael J."},{"family":"Garvey","given":"Marjorie A."},{"family":"Heinssen","given":"Robert K."},{"family":"Wang","given":"Philip Sung-En"},{"family":"Cuthbert","given":"Bruce N."}],"issued":{"date-parts":[["2010",11]]}}}],"schema":"https://github.com/citation-style-language/schema/raw/master/csl-citation.json"} </w:instrText>
      </w:r>
      <w:r w:rsidRPr="00B07394">
        <w:rPr>
          <w:rFonts w:eastAsiaTheme="majorEastAsia"/>
          <w:color w:val="000000" w:themeColor="text1"/>
        </w:rPr>
        <w:fldChar w:fldCharType="separate"/>
      </w:r>
      <w:r w:rsidRPr="00B07394">
        <w:rPr>
          <w:rFonts w:eastAsiaTheme="majorEastAsia"/>
          <w:noProof/>
          <w:color w:val="000000" w:themeColor="text1"/>
        </w:rPr>
        <w:t>(Luthar et al., 2000; Sanislow et al., 2010)</w:t>
      </w:r>
      <w:r w:rsidRPr="00B07394">
        <w:rPr>
          <w:rFonts w:eastAsiaTheme="majorEastAsia"/>
          <w:color w:val="000000" w:themeColor="text1"/>
        </w:rPr>
        <w:fldChar w:fldCharType="end"/>
      </w:r>
      <w:r w:rsidRPr="008157C2">
        <w:rPr>
          <w:rFonts w:eastAsiaTheme="majorEastAsia"/>
          <w:color w:val="000000" w:themeColor="text1"/>
        </w:rPr>
        <w:t>.</w:t>
      </w:r>
      <w:r>
        <w:rPr>
          <w:rFonts w:eastAsiaTheme="majorEastAsia"/>
          <w:color w:val="000000" w:themeColor="text1"/>
        </w:rPr>
        <w:t xml:space="preserve"> </w:t>
      </w:r>
      <w:r w:rsidRPr="005C3E0F">
        <w:rPr>
          <w:rFonts w:eastAsiaTheme="majorEastAsia"/>
          <w:color w:val="000000" w:themeColor="text1"/>
        </w:rPr>
        <w:t xml:space="preserve">Studies show that individuals with anxiety disorders exhibit specific structural brain differences compared to healthy controls. Notably, significant reductions in gray matter volume (GMV) have been consistently observed in the anterior cingulate cortex (ACC) and insular cortices </w:t>
      </w:r>
      <w:r w:rsidRPr="00B07394">
        <w:rPr>
          <w:rFonts w:eastAsiaTheme="majorEastAsia"/>
          <w:color w:val="000000" w:themeColor="text1"/>
        </w:rPr>
        <w:fldChar w:fldCharType="begin"/>
      </w:r>
      <w:r w:rsidRPr="00B07394">
        <w:rPr>
          <w:rFonts w:eastAsiaTheme="majorEastAsia"/>
          <w:color w:val="000000" w:themeColor="text1"/>
        </w:rPr>
        <w:instrText xml:space="preserve"> ADDIN ZOTERO_ITEM CSL_CITATION {"citationID":"Z0vbnVVg","properties":{"formattedCitation":"(Bora et al., 2012; Bromis et al., 2018; Radua et al., 2010)","plainCitation":"(Bora et al., 2012; Bromis et al., 2018; Radua et al., 2010)","noteIndex":0},"citationItems":[{"id":3034,"uris":["http://zotero.org/users/13126831/items/GQAXGISM"],"itemData":{"id":3034,"type":"article-journal","abstract":"Abstract Background Voxel-based morphometry (VBM) has been widely used to quantify structural brain changes associated with Major Depressive Disorder (MDD). While some consistent findings have been reported, individual studies have also varied with respect to the key brain regions affected by the illness, and how these abnormalities are related to patients' clinical characteristics. Here, we aimed to identify those brain regions that most consistently showed gray matter anomalies in MDD, and their clinical correlates, using meta-analytic techniques. Methods A systematic search of VBM studies was applied in MDD. Signed differential mapping, a new coordinate based neuroimaging meta-analysis technique, was applied to data collated from a total of 23 studies comparing regional gray matter volumes of 986 MDD patients and 937 healthy controls. Results Gray matter was significantly reduced in a confined cluster located in the rostral anterior cingulate cortex (ACC). There were also gray matter reductions in dorsolateral and dorsomedial prefrontal cortex and decrease in the latter region was evident in patients with multiple-episodes. Amygdala and parahippocampal gray matter volumes were significantly reduced in studies including patients with comorbid anxiety disorders, as well as in first-episode/drug free samples. Conclusions Gray matter reduction in rostral ACC was the most consistent finding in VBM studies of MDD. The evidence for reductions in other regions within fronto-subcortical and limbic regions was less consistent. The associations between these gray matter anomalies and clinical characteristics, particularly measures relating to illness duration, suggest that chronic MDD has a robust and deleterious, albeit spatially focal, effect on brain structure.","container-title":"J Affect Disord","DOI":"10.1016/j.jad.2011.03.049","ISSN":"0165-0327","issue":"1","note":"publisher-place: Oxford\npublisher: Oxford: Elsevier B.V","page":"9-18","title":"Gray matter abnormalities in Major Depressive Disorder: A meta-analysis of voxel based morphometry studies","volume":"138","author":[{"family":"Bora","given":"Emre"},{"family":"Fornito","given":"Alex"},{"family":"Pantelis","given":"Christos"},{"family":"Yücel","given":"Murat"}],"issued":{"date-parts":[["2012"]]}}},{"id":3041,"uris":["http://zotero.org/users/13126831/items/S4X8K3BR"],"itemData":{"id":3041,"type":"article-journal","abstract":"Objective:The authors conducted a comprehensive meta-analysis of MRI region-of-interest and voxel-based morphometry (VBM) studies in posttraumatic stress disorder (PTSD). Because patients have high rates of comorbid depression, an additional objective was to compare the findings to a meta-analysis of MRI studies in depression.Method:The MEDLINE database was searched for studies from 1985 through 2016. A total of 113 studies met inclusion criteria and were included in an online database. Of these, 66 were selected for the region-of-interest meta-analysis and 13 for the VBM meta-analysis. The region-of-interest meta-analysis was conducted and compared with a meta-analysis of major depressive disorder. Within the region-of-interest meta-analysis, three subanalyses were conducted that included control groups with and without trauma.Results:In the region-of-interest meta-analysis, patients with PTSD compared with all control subjects were found to have reduced brain volume, intracranial volume, and volumes of the hippocampus, insula, and anterior cingulate. PTSD patients compared with nontraumatized or traumatized control subjects showed similar changes. Traumatized compared with nontraumatized control subjects showed smaller volumes of the hippocampus bilaterally. For all regions, pooled effect sizes (Hedges’ g) varied from −0.84 to 0.43, and number of studies from three to 41. The VBM meta-analysis revealed prominent volumetric reductions in the medial prefrontal cortex, including the anterior cingulate. Compared with region-of-interest data from patients with major depressive disorder, those with PTSD had reduced total brain volume, and both disorders were associated with reduced hippocampal volume.Conclusions:The meta-analyses revealed structural brain abnormalities associated with PTSD and trauma and suggest that global brain volume reductions distinguish PTSD from major depression.","container-title":"Am J Psychiatry","DOI":"10.1176/appi.ajp.2018.17111199","ISSN":"0002-953X","issue":"10","note":"publisher-place: United States\npublisher: United States: American Psychiatric Association","page":"989-998","title":"Meta-Analysis of 89 Structural MRI Studies in Posttraumatic Stress Disorder and Comparison With Major Depressive Disorder","volume":"175","author":[{"family":"Bromis","given":"Konstantinos"},{"family":"Calem","given":"Maria"},{"family":"Reinders","given":"Antje A.T.S"},{"family":"Williams","given":"Steven C.R"},{"family":"Kempton","given":"Matthew J"}],"issued":{"date-parts":[["2018"]]}}},{"id":3046,"uris":["http://zotero.org/users/13126831/items/AGFWIADD"],"itemData":{"id":3046,"type":"article-journal","abstract":"CONTEXT Whether obsessive-compulsive disorder (OCD) is adequately classified as an anxiety disorder is a matter of considerable debate. OBJECTIVES To quantitatively compare structural brain changes in OCD and other anxiety disorders using novel voxel-based meta-analytical methods and to generate an online database to facilitate replication and further analyses by other researchers. DATA SOURCES The PubMed, ScienceDirect, and Scopus databases were searched between 2001 (the date of the first voxel-based morphometry study in any anxiety disorder) and 2009. All voxel-based morphometry studies comparing patients with any anxiety disorder and healthy controls were retrieved. Manual searches were also conducted. Authors were contacted soliciting additional data. STUDY SELECTION Thirty-seven data sets were identified, of which 26 (including 639 patients with anxiety disorders and 737 healthy controls) met inclusion criteria. DATA EXTRACTION Coordinates were extracted from clusters of significant gray matter difference between patients and controls. Demographic, clinical, and methodological variables were extracted from each study or obtained from the authors. DATA SYNTHESIS Patients with anxiety disorders (including OCD) showed decreased bilateral gray matter volumes in the dorsomedial frontal/anterior cingulate gyri. Individuals with OCD had increased bilateral gray matter volumes (vs healthy controls and vs individuals with other anxiety disorders) in the lenticular/caudate nuclei, while patients with other anxiety disorders (mainly panic and posttraumatic stress disorders) had decreased gray matter volumes in the left lenticular nucleus. The findings remained largely unchanged in quartile and jackknife sensitivity analyses. Controlling for potential confounders such as age or antidepressant medication had little impact on the results. CONCLUSIONS The meta-analysis consistently revealed common as well as distinct neural substrates in OCD and other anxiety disorders. These results have implications for the current debate surrounding the classification of OCD in the DSM-V.Arch Gen Psychiatry. 2010","container-title":"Arch Gen Psychiatry","DOI":"10.1001/archgenpsychiatry.2010.70","ISSN":"0003-990X","issue":"7","note":"publisher-place: Chicago, IL\npublisher: Chicago, IL: American Medical Association","page":"701-711","title":"Meta-analytical Comparison of Voxel-Based Morphometry Studies in Obsessive-Compulsive Disorder vs Other Anxiety Disorders","volume":"67","author":[{"family":"Radua","given":"Joaquim"},{"family":"Heuvel","given":"Odile A","non-dropping-particle":"van den"},{"family":"Surguladze","given":"Simon"},{"family":"Mataix-Cols","given":"David"}],"issued":{"date-parts":[["2010"]]}}}],"schema":"https://github.com/citation-style-language/schema/raw/master/csl-citation.json"} </w:instrText>
      </w:r>
      <w:r w:rsidRPr="00B07394">
        <w:rPr>
          <w:rFonts w:eastAsiaTheme="majorEastAsia"/>
          <w:color w:val="000000" w:themeColor="text1"/>
        </w:rPr>
        <w:fldChar w:fldCharType="separate"/>
      </w:r>
      <w:r w:rsidRPr="00B07394">
        <w:rPr>
          <w:rFonts w:eastAsiaTheme="majorEastAsia"/>
          <w:noProof/>
          <w:color w:val="000000" w:themeColor="text1"/>
        </w:rPr>
        <w:t>(Bora et al., 2012; Bromis et al., 2018; Radua et al., 2010)</w:t>
      </w:r>
      <w:r w:rsidRPr="00B07394">
        <w:rPr>
          <w:rFonts w:eastAsiaTheme="majorEastAsia"/>
          <w:color w:val="000000" w:themeColor="text1"/>
        </w:rPr>
        <w:fldChar w:fldCharType="end"/>
      </w:r>
      <w:r w:rsidRPr="005C3E0F">
        <w:rPr>
          <w:rFonts w:eastAsiaTheme="majorEastAsia"/>
          <w:color w:val="000000" w:themeColor="text1"/>
        </w:rPr>
        <w:t xml:space="preserve">, which are considered general markers of psychopathology </w:t>
      </w:r>
      <w:r w:rsidRPr="00B07394">
        <w:rPr>
          <w:rFonts w:eastAsiaTheme="majorEastAsia"/>
          <w:color w:val="000000" w:themeColor="text1"/>
        </w:rPr>
        <w:fldChar w:fldCharType="begin"/>
      </w:r>
      <w:r w:rsidRPr="00B07394">
        <w:rPr>
          <w:rFonts w:eastAsiaTheme="majorEastAsia"/>
          <w:color w:val="000000" w:themeColor="text1"/>
        </w:rPr>
        <w:instrText xml:space="preserve"> ADDIN ZOTERO_ITEM CSL_CITATION {"citationID":"2i6mFufH","properties":{"formattedCitation":"(Goodkind et al., 2015)","plainCitation":"(Goodkind et al., 2015)","noteIndex":0},"citationItems":[{"id":3051,"uris":["http://zotero.org/users/13126831/items/CWAMNTLC"],"itemData":{"id":3051,"type":"article-journal","abstract":"IMPORTANCE: Psychiatric diagnoses are currently distinguished based on sets of specific symptoms. However, genetic and clinical analyses find similarities across a wide variety of diagnoses, suggesting that a common neurobiological substrate may exist across mental illness. OBJECTIVE: To conduct a meta-analysis of structural neuroimaging studies across multiple psychiatric diagnoses, followed by parallel analyses of 3 large-scale healthy participant data sets to help interpret structural findings in the meta-analysis. DATA SOURCES: PubMed was searched to identify voxel-based morphometry studies through July 2012 comparing psychiatric patients to healthy control individuals for the meta-analysis. The 3 parallel healthy participant data sets included resting-state functional magnetic resonance imaging, a database of activation foci across thousands of neuroimaging experiments, and a data set with structural imaging and cognitive task performance data. DATA EXTRACTION AND SYNTHESIS: Studies were included in the meta-analysis if they reported voxel-based morphometry differences between patients with an Axis I diagnosis and control individuals in stereotactic coordinates across the whole brain, did not present predominantly in childhood, and had at least 10 studies contributing to that diagnosis (or across closely related diagnoses). The meta-analysis was conducted on peak voxel coordinates using an activation likelihood estimation approach. MAIN OUTCOMES AND MEASURES: We tested for areas of common gray matter volume increase or decrease across Axis I diagnoses, as well as areas differing between diagnoses. Follow-up analyses on other healthy participant data sets tested connectivity related to regions arising from the meta-analysis and the relationship of gray matter volume to cognition. RESULTS: Based on the voxel-based morphometry meta-analysis of 193 studies comprising 15 892 individuals across 6 diverse diagnostic groups (schizophrenia, bipolar disorder, depression, addiction, obsessive-compulsive disorder, and anxiety), we found that gray matter loss converged across diagnoses in 3 regions: the dorsal anterior cingulate, right insula, and left insula. By contrast, there were few diagnosis-specific effects, distinguishing only schizophrenia and depression from other diagnoses. In the parallel follow-up analyses of the 3 independent healthy participant data sets, we found that the common gray matter loss regions formed a tightly interconnected network during tasks and at resting and that lower gray matter in this network was associated with poor executive functioning. CONCLUSIONS AND REVELANCE: We identified a concordance across psychiatric diagnoses in terms of integrity of an anterior insula/dorsal anterior cingulate–based network, which may relate to executive function deficits observed across diagnoses. This concordance provides an organizing model that emphasizes the importance of shared neural substrates across psychopathology, despite likely diverse etiologies, which is currently not an explicit component of psychiatric nosology.","container-title":"JAMA Psychiatry","DOI":"10.1001/jamapsychiatry.2014.2206","ISSN":"2168-622X","issue":"4","note":"publisher-place: United States\npublisher: United States: American Medical Association","page":"305-315","title":"Identification of a Common Neurobiological Substrate for Mental Illness","volume":"72","author":[{"family":"Goodkind","given":"Madeleine"},{"family":"Eickhoff","given":"Simon B"},{"family":"Oathes","given":"Desmond J"},{"family":"Jiang","given":"Ying"},{"family":"Chang","given":"Andrew"},{"family":"Jones-Hagata","given":"Laura B"},{"family":"Ortega","given":"Brissa N"},{"family":"Zaiko","given":"Yevgeniya V"},{"family":"Roach","given":"Erika L"},{"family":"Korgaonkar","given":"Mayuresh S"},{"family":"Grieve","given":"Stuart M"},{"family":"Galatzer-Levy","given":"Isaac"},{"family":"Fox","given":"Peter T"},{"family":"Etkin","given":"Amit"}],"issued":{"date-parts":[["2015"]]}}}],"schema":"https://github.com/citation-style-language/schema/raw/master/csl-citation.json"} </w:instrText>
      </w:r>
      <w:r w:rsidRPr="00B07394">
        <w:rPr>
          <w:rFonts w:eastAsiaTheme="majorEastAsia"/>
          <w:color w:val="000000" w:themeColor="text1"/>
        </w:rPr>
        <w:fldChar w:fldCharType="separate"/>
      </w:r>
      <w:r w:rsidRPr="00B07394">
        <w:rPr>
          <w:rFonts w:eastAsiaTheme="majorEastAsia"/>
          <w:noProof/>
          <w:color w:val="000000" w:themeColor="text1"/>
        </w:rPr>
        <w:t>(Goodkind et al., 2015)</w:t>
      </w:r>
      <w:r w:rsidRPr="00B07394">
        <w:rPr>
          <w:rFonts w:eastAsiaTheme="majorEastAsia"/>
          <w:color w:val="000000" w:themeColor="text1"/>
        </w:rPr>
        <w:fldChar w:fldCharType="end"/>
      </w:r>
      <w:r w:rsidRPr="00B07394">
        <w:rPr>
          <w:rFonts w:eastAsiaTheme="majorEastAsia"/>
          <w:color w:val="000000" w:themeColor="text1"/>
        </w:rPr>
        <w:t>.</w:t>
      </w:r>
    </w:p>
    <w:p w14:paraId="165A3F33" w14:textId="6D094284" w:rsidR="00FD7D13" w:rsidRDefault="00FD7D13" w:rsidP="00B365C7">
      <w:pPr>
        <w:spacing w:line="360" w:lineRule="auto"/>
        <w:ind w:firstLine="720"/>
        <w:rPr>
          <w:rFonts w:eastAsiaTheme="majorEastAsia"/>
          <w:color w:val="000000" w:themeColor="text1"/>
        </w:rPr>
      </w:pPr>
      <w:r w:rsidRPr="005C3E0F">
        <w:rPr>
          <w:rFonts w:eastAsiaTheme="majorEastAsia"/>
          <w:color w:val="000000" w:themeColor="text1"/>
        </w:rPr>
        <w:t xml:space="preserve">Anxiety disorders, as conceptualized in the DSM-5, also display GMV differences in </w:t>
      </w:r>
      <w:proofErr w:type="spellStart"/>
      <w:r w:rsidRPr="005C3E0F">
        <w:rPr>
          <w:rFonts w:eastAsiaTheme="majorEastAsia"/>
          <w:color w:val="000000" w:themeColor="text1"/>
        </w:rPr>
        <w:t>fronto</w:t>
      </w:r>
      <w:proofErr w:type="spellEnd"/>
      <w:r w:rsidRPr="005C3E0F">
        <w:rPr>
          <w:rFonts w:eastAsiaTheme="majorEastAsia"/>
          <w:color w:val="000000" w:themeColor="text1"/>
        </w:rPr>
        <w:t xml:space="preserve">-parietal and ventral attention networks, including the ventrolateral prefrontal cortex (PFC) and temporo-parietal junction, areas implicated in attentional control and anxiety symptomatology </w:t>
      </w:r>
      <w:r w:rsidRPr="00E6476D">
        <w:rPr>
          <w:rFonts w:eastAsiaTheme="majorEastAsia"/>
          <w:color w:val="000000" w:themeColor="text1"/>
        </w:rPr>
        <w:fldChar w:fldCharType="begin"/>
      </w:r>
      <w:r w:rsidRPr="00E6476D">
        <w:rPr>
          <w:rFonts w:eastAsiaTheme="majorEastAsia"/>
          <w:color w:val="000000" w:themeColor="text1"/>
        </w:rPr>
        <w:instrText xml:space="preserve"> ADDIN ZOTERO_ITEM CSL_CITATION {"citationID":"yAprowcm","properties":{"formattedCitation":"(Sylvester et al., 2012)","plainCitation":"(Sylvester et al., 2012)","noteIndex":0},"citationItems":[{"id":3019,"uris":["http://zotero.org/users/13126831/items/ZNSR9GL3"],"itemData":{"id":3019,"type":"article-journal","container-title":"Trends in Neurosciences","DOI":"10.1016/j.tins.2012.04.012","ISSN":"0166-2236, 1878-108X","issue":"9","journalAbbreviation":"Trends in Neurosciences","language":"English","note":"publisher: Elsevier\nPMID: 22658924","page":"527-535","source":"www.cell.com","title":"Functional network dysfunction in anxiety and anxiety disorders","volume":"35","author":[{"family":"Sylvester","given":"C. M."},{"family":"Corbetta","given":"M."},{"family":"Raichle","given":"M. E."},{"family":"Rodebaugh","given":"T. L."},{"family":"Schlaggar","given":"B. L."},{"family":"Sheline","given":"Y. I."},{"family":"Zorumski","given":"C. F."},{"family":"Lenze","given":"E. J."}],"issued":{"date-parts":[["2012",9,1]]}}}],"schema":"https://github.com/citation-style-language/schema/raw/master/csl-citation.json"} </w:instrText>
      </w:r>
      <w:r w:rsidRPr="00E6476D">
        <w:rPr>
          <w:rFonts w:eastAsiaTheme="majorEastAsia"/>
          <w:color w:val="000000" w:themeColor="text1"/>
        </w:rPr>
        <w:fldChar w:fldCharType="separate"/>
      </w:r>
      <w:r w:rsidRPr="00E6476D">
        <w:rPr>
          <w:rFonts w:eastAsiaTheme="majorEastAsia"/>
          <w:noProof/>
          <w:color w:val="000000" w:themeColor="text1"/>
        </w:rPr>
        <w:t>(Sylvester et al., 2012)</w:t>
      </w:r>
      <w:r w:rsidRPr="00E6476D">
        <w:rPr>
          <w:rFonts w:eastAsiaTheme="majorEastAsia"/>
          <w:color w:val="000000" w:themeColor="text1"/>
        </w:rPr>
        <w:fldChar w:fldCharType="end"/>
      </w:r>
      <w:r w:rsidRPr="00E6476D">
        <w:rPr>
          <w:rFonts w:eastAsiaTheme="majorEastAsia"/>
          <w:color w:val="000000" w:themeColor="text1"/>
        </w:rPr>
        <w:t xml:space="preserve">. </w:t>
      </w:r>
      <w:r w:rsidRPr="005C3E0F">
        <w:rPr>
          <w:rFonts w:eastAsiaTheme="majorEastAsia"/>
          <w:color w:val="000000" w:themeColor="text1"/>
        </w:rPr>
        <w:t xml:space="preserve">Comparing anxiety to major depressive disorder (MDD), studies highlight potential distinctions in frontotemporal regions. Using machine </w:t>
      </w:r>
      <w:r w:rsidRPr="005C3E0F">
        <w:rPr>
          <w:rFonts w:eastAsiaTheme="majorEastAsia"/>
          <w:color w:val="000000" w:themeColor="text1"/>
        </w:rPr>
        <w:lastRenderedPageBreak/>
        <w:t xml:space="preserve">learning techniques, these regions have shown greater accuracy in differentiating between MDD and GAD than clinical questionnaires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{"citationID":"By9XYNWj","properties":{"formattedCitation":"(Hilbert et al., 2017; Zhao et al., 2017)","plainCitation":"(Hilbert et al., 2017; Zhao et al., 2017)","noteIndex":0},"citationItems":[{"id":2705,"uris":["http://zotero.org/users/13126831/items/4JIUHLS2"],"itemData":{"id":2705,"type":"article-journal","abstract":"Background Generalized anxiety disorder (GAD) is difficult to recognize and hard to separate from major depression (MD) in clinical settings. Biomarkers might support diagnostic decisions. This study used machine learning on multimodal biobehavioral data from a sample of GAD, MD and healthy subjects to differentiate subjects with a disorder from healthy subjects (case-classification) and to differentiate GAD from MD (disorder-classification). Methods Subjects with GAD (n = 19), MD without GAD (n = 14), and healthy comparison subjects (n = 24) were included. The sample was matched regarding age, sex, handedness and education and free of psychopharmacological medication. Binary support vector machines were used within a nested leave-one-out cross-validation framework. Clinical questionnaires, cortisol release, gray matter (GM), and white matter (WM) volumes were used as input data separately and in combination. Results Questionnaire data were well-suited for case-classification but not disorder-classification (accuracies: 96.40%, p &lt; .001; 56.58%, p &gt; .22). The opposite pattern was found for imaging data (case-classification GM/WM: 58.71%, p = .09/43.18%, p &gt; .66; disorder-classification GM/WM: 68.05%, p = .034/58.27%, p &gt; .15) and for cortisol data (38.02%, p = .84; 74.60%, p = .009). All data combined achieved 90.10% accuracy (p &lt; .001) for case-classification and 67.46% accuracy (p = .0268) for disorder-classification. Conclusions In line with previous evidence, classification of GAD was difficult using clinical questionnaire data alone. Particularly cortisol and GM volume data were able to provide incremental value for the classification of GAD. Findings suggest that neurobiological biomarkers are a useful target for further research to delineate their potential contribution to diagnostic processes.","container-title":"Brain and Behavior","DOI":"10.1002/brb3.633","ISSN":"2162-3279","issue":"3","language":"en","note":"_eprint: https://onlinelibrary.wiley.com/doi/pdf/10.1002/brb3.633","page":"e00633","source":"Wiley Online Library","title":"Separating generalized anxiety disorder from major depression using clinical, hormonal, and structural MRI data: A multimodal machine learning study","title-short":"Separating generalized anxiety disorder from major depression using clinical, hormonal, and structural MRI data","volume":"7","author":[{"family":"Hilbert","given":"Kevin"},{"family":"Lueken","given":"Ulrike"},{"family":"Muehlhan","given":"Markus"},{"family":"Beesdo-Baum","given":"Katja"}],"issued":{"date-parts":[["2017"]]}}},{"id":3056,"uris":["http://zotero.org/users/13126831/items/V4XK8X8V"],"itemData":{"id":3056,"type":"article-journal","abstract":"An overlap of clinical symptoms between major depressive disorder (MDD) and social anxiety disorder (SAD) suggests that the two disorders exhibit similar brain mechanisms. However, few studies have directly compared the brain structures of the two disorders. The aim of this study was to assess the gray matter volume (GMV) and cortical thickness alterations between non-comorbid medication-naive MDD patients and SAD patients.\nHigh-resolution T1-weighted images were acquired from 37 non-comorbid MDD patients, 24 non-comorbid SAD patients and 41 healthy controls (HCs). Voxel-based morphometry analysis of the GMV (corrected with a false discovery rate of p&lt;0.001) and vertex-based analysis of cortical thickness (corrected with a clusterwise probability of p&lt;0.001) were performed, and group differences were compared by ANOVA followed by post hoc tests.\nRelative to the HCs, both the MDD patients and SAD patients showed the following results: GMV reductions in the bilateral orbital frontal cortex (OFC), putamen, and thalamus","container-title":"EBioMedicine","DOI":"10.1016/j.ebiom.2017.06.013","ISSN":"2352-3964","issue":"C","note":"publisher-place: Netherlands\npublisher: Netherlands: Elsevier B.V","page":"228-235","title":"Gray Matter Abnormalities in Non-comorbid Medication-naive Patients with Major Depressive Disorder or Social Anxiety Disorder","volume":"21","author":[{"family":"Zhao","given":"Youjin"},{"family":"Chen","given":"Lizhou"},{"family":"Zhang","given":"Wenjing"},{"family":"Xiao","given":"Yuan"},{"family":"Shah","given":"Chandan"},{"family":"Zhu","given":"Hongru"},{"family":"Yuan","given":"Minlan"},{"family":"Sun","given":"Huaiqiang"},{"family":"Yue","given":"Qiang"},{"family":"Jia","given":"Zhiyun"},{"family":"Zhang","given":"Wei"},{"family":"Kuang","given":"Weihong"},{"family":"Gong","given":"Qiyong"},{"family":"Lui","given":"Su"}],"issued":{"date-parts":[["2017"]]}}}],"schema":"https://github.com/citation-style-language/schema/raw/master/csl-citation.json"} </w:instrText>
      </w:r>
      <w:r w:rsidRPr="00851784">
        <w:rPr>
          <w:rFonts w:eastAsiaTheme="majorEastAsia"/>
          <w:color w:val="000000" w:themeColor="text1"/>
        </w:rPr>
        <w:fldChar w:fldCharType="separate"/>
      </w:r>
      <w:r w:rsidRPr="00851784">
        <w:rPr>
          <w:rFonts w:eastAsiaTheme="majorEastAsia"/>
          <w:noProof/>
          <w:color w:val="000000" w:themeColor="text1"/>
        </w:rPr>
        <w:t>(Hilbert et al., 2017; Zhao et al., 2017)</w:t>
      </w:r>
      <w:r w:rsidRPr="00851784">
        <w:rPr>
          <w:rFonts w:eastAsiaTheme="majorEastAsia"/>
          <w:color w:val="000000" w:themeColor="text1"/>
        </w:rPr>
        <w:fldChar w:fldCharType="end"/>
      </w:r>
      <w:r w:rsidRPr="00851784">
        <w:rPr>
          <w:rFonts w:eastAsiaTheme="majorEastAsia"/>
          <w:color w:val="000000" w:themeColor="text1"/>
        </w:rPr>
        <w:t xml:space="preserve">. </w:t>
      </w:r>
      <w:r w:rsidRPr="005C3E0F">
        <w:rPr>
          <w:rFonts w:eastAsiaTheme="majorEastAsia"/>
          <w:color w:val="000000" w:themeColor="text1"/>
        </w:rPr>
        <w:t xml:space="preserve">Other studies have found significant correlations between generalized anxiety </w:t>
      </w:r>
      <w:r w:rsidR="00814A70">
        <w:rPr>
          <w:rFonts w:eastAsiaTheme="majorEastAsia"/>
          <w:color w:val="000000" w:themeColor="text1"/>
        </w:rPr>
        <w:t xml:space="preserve">severity </w:t>
      </w:r>
      <w:r w:rsidRPr="005C3E0F">
        <w:rPr>
          <w:rFonts w:eastAsiaTheme="majorEastAsia"/>
          <w:color w:val="000000" w:themeColor="text1"/>
        </w:rPr>
        <w:t xml:space="preserve">and cortical thickness similarities in the left caudal ACC and pericalcarine cortex </w:t>
      </w:r>
      <w:r w:rsidRPr="00851784">
        <w:rPr>
          <w:rFonts w:eastAsiaTheme="majorEastAsia"/>
          <w:color w:val="000000" w:themeColor="text1"/>
        </w:rPr>
        <w:fldChar w:fldCharType="begin"/>
      </w:r>
      <w:r w:rsidRPr="00851784">
        <w:rPr>
          <w:rFonts w:eastAsiaTheme="majorEastAsia"/>
          <w:color w:val="000000" w:themeColor="text1"/>
        </w:rPr>
        <w:instrText xml:space="preserve"> ADDIN ZOTERO_ITEM CSL_CITATION {"citationID":"qlXMDteJ","properties":{"formattedCitation":"(Yoo &amp; Kim, 2023)","plainCitation":"(Yoo &amp; Kim, 2023)","noteIndex":0},"citationItems":[{"id":3073,"uris":["http://zotero.org/users/13126831/items/5P5L6M94"],"itemData":{"id":3073,"type":"article-journal","abstract":"Generalized anxiety disorder (GAD) is a common condition characterized by excessive and uncontrollable worry, along with its high comorbidity rates. Despite increasing efforts to identify the neural underpinnings of GAD, neuroimaging research using cortical thickness have yielded largely inconsistent results. To address this, we adopted an inter-subject representational similarity analysis framework to explore a potential nonlinear relationship between vertex-wise cortical thickness and generalized anxiety symptom severity. We utilized a sample of 120 adolescents (13–18 years of age) from the Healthy Brain Network dataset. Here, we found greater topographical resemblance among participants with heightened generalized anxiety symptoms in the left caudal anterior cingulate and pericalcarine cortex. These results were not driven by the effects of age, sex, ADHD diagnosis, and GAD diagnosis. Such associations were not observed when including a group of younger participants (11–12 years of age) for analyses, highlighting the importance of age range selection when considering the link between cortical thickness and anxiety. Our findings reveal a novel cortical thickness topography that represents generalized anxiety in adolescents, which is embedded within the shared geometries between generalized anxiety symptoms and cortical thickness.\n•Cortical thickness topography represents generalized anxiety (GA) in adolescents.•Topographical resemblance of ACC/pericalcarine cortex correlated with GA symptoms.•Such associations were no longer observed when including data from a younger sample.•Cortical thickness topography may serve as a potential neuroimaging-based biomarker.","container-title":"Brain Res Bull","DOI":"10.1016/j.brainresbull.2023.110728","ISSN":"0361-9230","journalAbbreviation":"BRAIN RES BULL","note":"publisher-place: OXFORD\npublisher: OXFORD: Elsevier Inc","page":"110728-110728","title":"Topographical similarity of cortical thickness represents generalized anxiety symptoms in adolescence","volume":"202","author":[{"family":"Yoo","given":"Chaebin"},{"family":"Kim","given":"M. Justin"}],"issued":{"date-parts":[["2023"]]}}}],"schema":"https://github.com/citation-style-language/schema/raw/master/csl-citation.json"} </w:instrText>
      </w:r>
      <w:r w:rsidRPr="00851784">
        <w:rPr>
          <w:rFonts w:eastAsiaTheme="majorEastAsia"/>
          <w:color w:val="000000" w:themeColor="text1"/>
        </w:rPr>
        <w:fldChar w:fldCharType="separate"/>
      </w:r>
      <w:r w:rsidRPr="00851784">
        <w:rPr>
          <w:rFonts w:eastAsiaTheme="majorEastAsia"/>
          <w:noProof/>
          <w:color w:val="000000" w:themeColor="text1"/>
        </w:rPr>
        <w:t>(Yoo &amp; Kim, 2023)</w:t>
      </w:r>
      <w:r w:rsidRPr="00851784">
        <w:rPr>
          <w:rFonts w:eastAsiaTheme="majorEastAsia"/>
          <w:color w:val="000000" w:themeColor="text1"/>
        </w:rPr>
        <w:fldChar w:fldCharType="end"/>
      </w:r>
      <w:r>
        <w:rPr>
          <w:rFonts w:eastAsiaTheme="majorEastAsia"/>
          <w:color w:val="000000" w:themeColor="text1"/>
        </w:rPr>
        <w:t>.</w:t>
      </w:r>
    </w:p>
    <w:p w14:paraId="251DEB92" w14:textId="7723FBBC" w:rsidR="00FD7D13" w:rsidRPr="005C3E0F" w:rsidRDefault="00FD7D13" w:rsidP="00B365C7">
      <w:pPr>
        <w:spacing w:line="360" w:lineRule="auto"/>
        <w:ind w:firstLine="720"/>
        <w:rPr>
          <w:rFonts w:eastAsiaTheme="majorEastAsia"/>
          <w:color w:val="000000" w:themeColor="text1"/>
        </w:rPr>
      </w:pPr>
      <w:r w:rsidRPr="005C3E0F">
        <w:rPr>
          <w:rFonts w:eastAsiaTheme="majorEastAsia"/>
          <w:color w:val="000000" w:themeColor="text1"/>
        </w:rPr>
        <w:t xml:space="preserve">Gathering information about a child’s functioning typically involves input from multiple informants, including the child and parents </w:t>
      </w:r>
      <w:r>
        <w:rPr>
          <w:rFonts w:eastAsiaTheme="minorHAnsi"/>
          <w:kern w:val="2"/>
          <w14:ligatures w14:val="standardContextual"/>
        </w:rPr>
        <w:fldChar w:fldCharType="begin"/>
      </w:r>
      <w:r w:rsidRPr="00851784">
        <w:rPr>
          <w:rFonts w:eastAsiaTheme="minorHAnsi"/>
          <w:kern w:val="2"/>
          <w14:ligatures w14:val="standardContextual"/>
        </w:rPr>
        <w:instrText xml:space="preserve"> ADDIN ZOTERO_ITEM CSL_CITATION {"citationID":"XKgmIvHY","properties":{"formattedCitation":"(Achenbach, 2006)","plainCitation":"(Achenbach, 2006)","noteIndex":0},"citationItems":[{"id":2943,"uris":["http://zotero.org/users/13126831/items/SAJBYYI9"],"itemData":{"id":2943,"type":"article-journal","abstract":"Discrepancies are often found between self-reports and reports by others regarding psychopathology. Both the person being assessed and various informants may contribute crucial data concerning a person's functioning. Comprehensive assessment requires data from multiple informants. Such data can be easily obtained with parallel self-report and collateral-report forms. The multi-informant data can be compared, aggregated, and used in many ways. Optimal use of multi-source data is essential for clinical assessment and for discovering causes and cures of psychopathology.","container-title":"Curr Dir Psychol Sci","DOI":"10.1111/j.0963-7214.2006.00414.x","ISSN":"0963-7214","issue":"2","note":"publisher-place: Los Angeles, CA\npublisher: Los Angeles, C</w:instrText>
      </w:r>
      <w:r>
        <w:rPr>
          <w:rFonts w:eastAsiaTheme="minorHAnsi"/>
          <w:kern w:val="2"/>
          <w14:ligatures w14:val="standardContextual"/>
        </w:rPr>
        <w:instrText xml:space="preserve">A: Blackwell Publishers","page":"94-98","title":"As Others See Us: Clinical and Research Implications of Cross-Informant Correlations for Psychopathology","volume":"15","author":[{"family":"Achenbach","given":"Thomas M."}],"issued":{"date-parts":[["2006"]]}}}],"schema":"https://github.com/citation-style-language/schema/raw/master/csl-citation.json"} </w:instrText>
      </w:r>
      <w:r>
        <w:rPr>
          <w:rFonts w:eastAsiaTheme="minorHAnsi"/>
          <w:kern w:val="2"/>
          <w14:ligatures w14:val="standardContextual"/>
        </w:rPr>
        <w:fldChar w:fldCharType="separate"/>
      </w:r>
      <w:r>
        <w:rPr>
          <w:rFonts w:eastAsiaTheme="minorHAnsi"/>
          <w:noProof/>
          <w:kern w:val="2"/>
          <w14:ligatures w14:val="standardContextual"/>
        </w:rPr>
        <w:t>(Achenbach, 2006)</w:t>
      </w:r>
      <w:r>
        <w:rPr>
          <w:rFonts w:eastAsiaTheme="minorHAnsi"/>
          <w:kern w:val="2"/>
          <w14:ligatures w14:val="standardContextual"/>
        </w:rPr>
        <w:fldChar w:fldCharType="end"/>
      </w:r>
      <w:r w:rsidRPr="00CC7E43">
        <w:rPr>
          <w:rFonts w:eastAsiaTheme="minorHAnsi"/>
          <w:kern w:val="2"/>
          <w14:ligatures w14:val="standardContextual"/>
        </w:rPr>
        <w:t xml:space="preserve">. </w:t>
      </w:r>
      <w:r w:rsidRPr="005C3E0F">
        <w:rPr>
          <w:rFonts w:eastAsiaTheme="majorEastAsia"/>
          <w:color w:val="000000" w:themeColor="text1"/>
        </w:rPr>
        <w:t xml:space="preserve">Mental health issues can vary across different contexts </w:t>
      </w:r>
      <w:r>
        <w:rPr>
          <w:rFonts w:eastAsiaTheme="majorEastAsia"/>
          <w:color w:val="000000" w:themeColor="text1"/>
        </w:rPr>
        <w:fldChar w:fldCharType="begin"/>
      </w:r>
      <w:r>
        <w:rPr>
          <w:rFonts w:eastAsiaTheme="majorEastAsia"/>
          <w:color w:val="000000" w:themeColor="text1"/>
        </w:rPr>
        <w:instrText xml:space="preserve"> ADDIN ZOTERO_ITEM CSL_CITATION {"citationID":"7u7bP7Cm","properties":{"formattedCitation":"(Bauducco et al., 2024; Beesdo et al., 2009)","plainCitation":"(Bauducco et al., 2024; Beesdo et al., 2009)","noteIndex":0},"citationItems":[{"id":2929,"uris":["http://zotero.org/users/13126831/items/R69J2BK2"],"itemData":{"id":2929,"type":"article-journal","abstract":"The COVID-19 pandemic has seen a rise in anxiety and depression among adolescents. This study aimed to investigate the longitudinal associations between sleep and mental health among a large sample of Australian adolescents and examine whether ...","container-title":"Scientific Reports","DOI":"10.1038/s41598-024-60974-y","language":"en","note":"PMID: 38730014","page":"10764","source":"pmc.ncbi.nlm.nih.gov","title":"Adolescents’ trajectories of depression and anxiety symptoms prior to and during the COVID-19 pandemic and their association with healthy sleep patterns","volume":"14","author":[{"family":"Bauducco","given":"Serena"},{"family":"Gardner","given":"Lauren A."},{"family":"Smout","given":"Scarlett"},{"family":"Champion","given":"Katrina E."},{"family":"Chapman","given":"Cath"},{"family":"Gamble","given":"Amanda"},{"family":"Teesson","given":"Maree"},{"family":"Gradisar","given":"Michael"},{"family":"Newton","given":"Nicola C."}],"issued":{"date-parts":[["2024",5,10]]}}},{"id":2932,"uris":["http://zotero.org/users/13126831/items/QVU33WQI"],"itemData":{"id":2932,"type":"article-journal","abstract":"This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(Bauducco et al., 2024; Beesdo et al., 2009)</w:t>
      </w:r>
      <w:r>
        <w:rPr>
          <w:rFonts w:eastAsiaTheme="majorEastAsia"/>
          <w:color w:val="000000" w:themeColor="text1"/>
        </w:rPr>
        <w:fldChar w:fldCharType="end"/>
      </w:r>
      <w:r>
        <w:rPr>
          <w:rFonts w:eastAsiaTheme="majorEastAsia"/>
          <w:color w:val="000000" w:themeColor="text1"/>
        </w:rPr>
        <w:t>.</w:t>
      </w:r>
      <w:r w:rsidRPr="008157C2">
        <w:rPr>
          <w:rFonts w:eastAsiaTheme="majorEastAsia"/>
          <w:color w:val="000000" w:themeColor="text1"/>
        </w:rPr>
        <w:t xml:space="preserve"> </w:t>
      </w:r>
      <w:r w:rsidRPr="005C3E0F">
        <w:rPr>
          <w:rFonts w:eastAsiaTheme="majorEastAsia"/>
          <w:color w:val="000000" w:themeColor="text1"/>
        </w:rPr>
        <w:t xml:space="preserve">Children and adolescents may exhibit mental health concerns in certain environments, such as at home or school, but not in others, like during peer interactions. These contextual variations are evident across various domains, including conduct problems, attention, hyperactivity, and anxiety </w:t>
      </w:r>
      <w:r>
        <w:rPr>
          <w:rFonts w:eastAsiaTheme="majorEastAsia"/>
          <w:color w:val="000000" w:themeColor="text1"/>
        </w:rPr>
        <w:fldChar w:fldCharType="begin"/>
      </w:r>
      <w:r>
        <w:rPr>
          <w:rFonts w:eastAsiaTheme="majorEastAsia"/>
          <w:color w:val="000000" w:themeColor="text1"/>
        </w:rPr>
        <w:instrText xml:space="preserve"> ADDIN ZOTERO_ITEM CSL_CITATION {"citationID":"hPqBWKt2","properties":{"formattedCitation":"(Beesdo et al., 2009)","plainCitation":"(Beesdo et al., 2009)","noteIndex":0},"citationItems":[{"id":2932,"uris":["http://zotero.org/users/13126831/items/QVU33WQI"],"itemData":{"id":2932,"type":"article-journal","abstract":"This review summarizes findings on the epidemiology and etiology of anxiety disorders among children and adolescents including separation anxiety disorder, specific phobia, social phobia, agoraphobia, panic disorder, and generalized anxiety ...","container-title":"The Psychiatric clinics of North America","DOI":"10.1016/j.psc.2009.06.002","issue":"3","language":"en","note":"PMID: 19716988","page":"483","source":"pmc.ncbi.nlm.nih.gov","title":"Anxiety and Anxiety Disorders in Children and Adolescents: Developmental Issues and Implications for DSM-V","title-short":"Anxiety and Anxiety Disorders in Children and Adolescents","volume":"32","author":[{"family":"Beesdo","given":"Katja"},{"family":"Knappe","given":"Susanne"},{"family":"Pine","given":"Daniel S."}],"issued":{"date-parts":[["2009",9]]}}}],"schema":"https://github.com/citation-style-language/schema/raw/master/csl-citation.json"}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(Beesdo et al., 2009)</w:t>
      </w:r>
      <w:r>
        <w:rPr>
          <w:rFonts w:eastAsiaTheme="majorEastAsia"/>
          <w:color w:val="000000" w:themeColor="text1"/>
        </w:rPr>
        <w:fldChar w:fldCharType="end"/>
      </w:r>
      <w:r>
        <w:rPr>
          <w:rFonts w:eastAsiaTheme="majorEastAsia"/>
          <w:color w:val="000000" w:themeColor="text1"/>
        </w:rPr>
        <w:t>.</w:t>
      </w:r>
    </w:p>
    <w:p w14:paraId="66C74EEA" w14:textId="7D634D7F" w:rsidR="00FD7D13" w:rsidRDefault="00FD7D13" w:rsidP="00B365C7">
      <w:pPr>
        <w:spacing w:line="360" w:lineRule="auto"/>
        <w:ind w:firstLine="720"/>
        <w:rPr>
          <w:rFonts w:eastAsiaTheme="majorEastAsia"/>
          <w:color w:val="000000" w:themeColor="text1"/>
        </w:rPr>
      </w:pPr>
      <w:r w:rsidRPr="005C3E0F">
        <w:rPr>
          <w:rFonts w:eastAsiaTheme="majorEastAsia"/>
          <w:color w:val="000000" w:themeColor="text1"/>
        </w:rPr>
        <w:t xml:space="preserve">However, the reliability of parent reports for assessing children's experiences, especially for non-observable functions like emotions, has been questioned </w:t>
      </w:r>
      <w:r w:rsidRPr="00C04C37">
        <w:rPr>
          <w:rFonts w:eastAsiaTheme="majorEastAsia"/>
          <w:color w:val="000000" w:themeColor="text1"/>
        </w:rPr>
        <w:fldChar w:fldCharType="begin"/>
      </w:r>
      <w:r w:rsidR="00EA7E7A">
        <w:rPr>
          <w:rFonts w:eastAsiaTheme="majorEastAsia"/>
          <w:color w:val="000000" w:themeColor="text1"/>
        </w:rPr>
        <w:instrText xml:space="preserve"> ADDIN ZOTERO_ITEM CSL_CITATION {"citationID":"GzPsfKLl","properties":{"formattedCitation":"(Eiser &amp; Morse, 2001)","plainCitation":"(Eiser &amp; Morse, 2001)","noteIndex":0},"citationItems":[{"id":3081,"uris":["http://zotero.org/users/13126831/items/JCYQ6H9L"],"itemData":{"id":3081,"type":"article-journal","abstract":"A systematic review was conducted to determine the relationship between ratings of children's health-related quality of life (HRQoL) made by parents and children. This was investigated in relation to four questions:- is agreement greater for some domains (e.g. physical HRQoL) than others?","container-title":"Qual Life Res","DOI":"10.1023/A:1012253723272","ISSN":"0962-9343","issue":"4","journalAbbreviation":"QUAL LIFE RES","note":"publisher-place: DORDRECHT\npublisher: DORDRECHT: Kluwer Academic Publishers","page":"347-357","title":"Can Parents Rate Their Child's Health-Related Quality of Life? Results of a Systematic Review","volume":"10","author":[{"family":"Eiser","given":"Christine"},{"family":"Morse","given":"Rachel"}],"issued":{"date-parts":[["2001"]]}}}],"schema":"https://github.com/citation-style-language/schema/raw/master/csl-citation.json"} </w:instrText>
      </w:r>
      <w:r w:rsidRPr="00C04C37">
        <w:rPr>
          <w:rFonts w:eastAsiaTheme="majorEastAsia"/>
          <w:color w:val="000000" w:themeColor="text1"/>
        </w:rPr>
        <w:fldChar w:fldCharType="separate"/>
      </w:r>
      <w:r w:rsidR="00EA7E7A">
        <w:rPr>
          <w:rFonts w:eastAsiaTheme="majorEastAsia"/>
          <w:noProof/>
          <w:color w:val="000000" w:themeColor="text1"/>
        </w:rPr>
        <w:t>(Eiser &amp; Morse, 2001)</w:t>
      </w:r>
      <w:r w:rsidRPr="00C04C37">
        <w:rPr>
          <w:rFonts w:eastAsiaTheme="majorEastAsia"/>
          <w:color w:val="000000" w:themeColor="text1"/>
        </w:rPr>
        <w:fldChar w:fldCharType="end"/>
      </w:r>
      <w:r w:rsidRPr="00C04C37">
        <w:rPr>
          <w:rFonts w:eastAsiaTheme="majorEastAsia"/>
          <w:color w:val="000000" w:themeColor="text1"/>
        </w:rPr>
        <w:t>.</w:t>
      </w:r>
      <w:r w:rsidR="00043986">
        <w:rPr>
          <w:rFonts w:eastAsiaTheme="majorEastAsia"/>
          <w:color w:val="000000" w:themeColor="text1"/>
        </w:rPr>
        <w:t xml:space="preserve"> </w:t>
      </w:r>
      <w:r w:rsidRPr="005C3E0F">
        <w:rPr>
          <w:rFonts w:eastAsiaTheme="majorEastAsia"/>
          <w:color w:val="000000" w:themeColor="text1"/>
        </w:rPr>
        <w:t xml:space="preserve">Parental assessments often differ from children’s self-perceptions, potentially due to biases, superficial observations, or the nature of the parent-child relationship. Conversely, children frequently lack objective self-perception </w:t>
      </w:r>
      <w:r w:rsidR="00EA7E7A" w:rsidRPr="00851784">
        <w:rPr>
          <w:rFonts w:eastAsiaTheme="majorEastAsia"/>
          <w:color w:val="000000" w:themeColor="text1"/>
        </w:rPr>
        <w:fldChar w:fldCharType="begin"/>
      </w:r>
      <w:r w:rsidR="00EA7E7A" w:rsidRPr="00851784">
        <w:rPr>
          <w:rFonts w:eastAsiaTheme="majorEastAsia"/>
          <w:color w:val="000000" w:themeColor="text1"/>
        </w:rPr>
        <w:instrText xml:space="preserve"> ADDIN ZOTERO_ITEM CSL_CITATION {"citationID":"hmhjwsGF","properties":{"formattedCitation":"(Barrett et al., 1991; Martin et al., 2004)","plainCitation":"(Barrett et al., 1991; Martin et al., 2004)","noteIndex":0},"citationItems":[{"id":2907,"uris":["http://zotero.org/users/13126831/items/93F3JMHC"],"itemData":{"id":2907,"type":"article-journal","abstract":"The extent of the similarities and discrepancies in the reporting of depressive symptomatology by children and their mothers was examined. Child-parent agreement was not always impressive, particularly for more subjective symptoms. It is suggested that direct psychiatric assessment of children provides a more accurate picture of their mental state regardless of presenting disorder, but particularly where depression is suspected.","container-title":"The British Journal of Psychiatry","DOI":"10.1192/S0007125000292118","ISSN":"0007-1250, 1472-1465","issue":"S11","language":"en","page":"22-27","source":"Cambridge University Press","title":"Diagnosing Childhood Depression. Who Should be Interviewed - Parent or Child?: The Newcastle Child Depression Project","title-short":"Diagnosing Childhood Depression. Who Should be Interviewed - Parent or Child?","volume":"159","author":[{"family":"Barrett","given":"M. L."},{"family":"Berney","given":"T. P."},{"family":"Bhate","given":"S."},{"family":"Famuyiwa","given":"O. O."},{"family":"Fundudis","given":"T."},{"family":"Kolvin","given":"I."},{"family":"Tyrer","given":"S."}],"issued":{"date-parts":[["1991",7]]}}},{"id":2913,"uris":["http://zotero.org/users/13126831/items/5U392N4F"],"itemData":{"id":2913,"type":"article-journal","abstract":"This study examined clinically relevant patterns of agreement between parent and child ratings of child behavior problems and factors associated with these patterns. Subjects were 274 children, ages 11 to 18 years, and their parents. Overall agreement between parent-child ratings was modest. Twenty-five percent of parent-child pairs agreed children's behavior problems were clinically elevated (\"both\" group), 29% agreed problems were nonclinical (\"neither\" group), in 39% of pairs only parents reported clinically elevated problems (\"parent only\" group) and in 8% of pairs only children rated clinically elevated problems (\"child only\" group). Maternal stress and child age, but not child gender, were associated with parent-child agreement patterns. Children with depressive/mood disorders were more likely to be in the \"child only\" group than in any other group. This study discusses the importance of paying attention to child reports of elevated behavior problems, particularly when parents report that child behavior problems are not clinically elevated.","container-title":"J Dev Behav Pediatr","DOI":"10.1097/00004703-200406000-00002","ISSN":"0196-206X","issue":"3","journalAbbreviation":"J DEV BEHAV PEDIATR","note":"publisher-place: PHILADELPHIA\npublisher: PHILADELPHIA: Lippincott Williams &amp; Wilkins","page":"150-155","title":"Patterns of agreement between parent and child ratings of emotional and behavioral problems in an outpatient clinical setting: When children endorse more problems","volume":"25","author":[{"family":"Martin","given":"Jacqueline L."},{"family":"Ford","given":"Christine B."},{"family":"Dyer-Friedman","given":"Jennifer"},{"family":"Tang","given":"Joyce"},{"family":"Huffman","given":"Lynne C."}],"issued":{"date-parts":[["2004"]]}}}],"schema":"https://github.com/citation-style-language/schema/raw/master/csl-citation.json"} </w:instrText>
      </w:r>
      <w:r w:rsidR="00EA7E7A" w:rsidRPr="00851784">
        <w:rPr>
          <w:rFonts w:eastAsiaTheme="majorEastAsia"/>
          <w:color w:val="000000" w:themeColor="text1"/>
        </w:rPr>
        <w:fldChar w:fldCharType="separate"/>
      </w:r>
      <w:r w:rsidR="00EA7E7A" w:rsidRPr="00851784">
        <w:rPr>
          <w:color w:val="000000" w:themeColor="text1"/>
        </w:rPr>
        <w:t>(Barrett et al., 1991; Martin et al., 2004)</w:t>
      </w:r>
      <w:r w:rsidR="00EA7E7A" w:rsidRPr="00851784">
        <w:rPr>
          <w:rFonts w:eastAsiaTheme="majorEastAsia"/>
          <w:color w:val="000000" w:themeColor="text1"/>
        </w:rPr>
        <w:fldChar w:fldCharType="end"/>
      </w:r>
      <w:r w:rsidR="00EA7E7A" w:rsidRPr="00851784">
        <w:rPr>
          <w:rFonts w:eastAsiaTheme="majorEastAsia"/>
          <w:color w:val="000000" w:themeColor="text1"/>
        </w:rPr>
        <w:t xml:space="preserve">. </w:t>
      </w:r>
      <w:r w:rsidRPr="005C3E0F">
        <w:rPr>
          <w:rFonts w:eastAsiaTheme="majorEastAsia"/>
          <w:color w:val="000000" w:themeColor="text1"/>
        </w:rPr>
        <w:t xml:space="preserve"> Research indicates discrepancies and varying accuracy in symptom reporting, with no clear consensus on which group reports internalized symptoms more accurately, while parents tend to be more precise in identifying externalized </w:t>
      </w:r>
      <w:r w:rsidR="00EA7E7A" w:rsidRPr="00851784">
        <w:rPr>
          <w:rFonts w:eastAsiaTheme="majorEastAsia"/>
          <w:color w:val="000000" w:themeColor="text1"/>
        </w:rPr>
        <w:fldChar w:fldCharType="begin"/>
      </w:r>
      <w:r w:rsidR="00EA7E7A" w:rsidRPr="00851784">
        <w:rPr>
          <w:rFonts w:eastAsiaTheme="majorEastAsia"/>
          <w:color w:val="000000" w:themeColor="text1"/>
        </w:rPr>
        <w:instrText xml:space="preserve"> ADDIN ZOTERO_ITEM CSL_CITATION {"citationID":"Ml3Uv4O0","properties":{"formattedCitation":"(Silverman &amp; Eisen, 1992)","plainCitation":"(Silverman &amp; Eisen, 1992)","noteIndex":0},"citationItems":[{"id":3088,"uris":["http://zotero.org/users/13126831/items/53SKEHYH"],"itemData":{"id":3088,"type":"article-journal","abstract":"Test-retest reliability of child and parent reports of anxious symptomatology, using a structured interview (The Anxiety Disorders Interview Schedule for Children; ADIS-C and ADIS-P), was examined with 50 outpatients and their parents. The test-retest interval was 10 to 14 days. Reliability was examined for three parameters: (1) an exact match on primary anxiety diagnoses; (2) symptom scale scores; and (3) clinician's agreement on severity ratings. Overall, satisfactory reliability across the three parameters was found. The results were viewed to be promising in light of previous research that parents and children tend to be unreliable in making such reports. Age differences in reliability were also examined between children 6 to 11 and 12 to 17 years old. Discrepancies between parent and child reports and age differences between samples (i.e., 6–11, 12–17) are discussed. J. Am. Acad. Child Adolesc. Psychiatry, 1992, 31, 1:117–124.","container-title":"Journal of the American Academy of Child &amp; Adolescent Psychiatry","DOI":"10.1097/00004583-199201000-00018","ISSN":"0890-8567","issue":"1","journalAbbreviation":"Journal of the American Academy of Child &amp; Adolescent Psychiatry","page":"117-124","title":"Age Differences in the Reliability of Parent and Child Reports of Child Anxious Symptomatology Using a Structured Interview","volume":"31","author":[{"family":"Silverman","given":"Wendy K."},{"family":"Eisen","given":"Andrew R."}],"issued":{"date-parts":[["1992",1,1]]}}}],"schema":"https://github.com/citation-style-language/schema/raw/master/csl-citation.json"} </w:instrText>
      </w:r>
      <w:r w:rsidR="00EA7E7A" w:rsidRPr="00851784">
        <w:rPr>
          <w:rFonts w:eastAsiaTheme="majorEastAsia"/>
          <w:color w:val="000000" w:themeColor="text1"/>
        </w:rPr>
        <w:fldChar w:fldCharType="separate"/>
      </w:r>
      <w:r w:rsidR="00EA7E7A" w:rsidRPr="00851784">
        <w:rPr>
          <w:rFonts w:eastAsiaTheme="majorEastAsia"/>
          <w:noProof/>
          <w:color w:val="000000" w:themeColor="text1"/>
        </w:rPr>
        <w:t>(Silverman &amp; Eisen, 1992)</w:t>
      </w:r>
      <w:r w:rsidR="00EA7E7A" w:rsidRPr="00851784">
        <w:rPr>
          <w:rFonts w:eastAsiaTheme="majorEastAsia"/>
          <w:color w:val="000000" w:themeColor="text1"/>
        </w:rPr>
        <w:fldChar w:fldCharType="end"/>
      </w:r>
      <w:r w:rsidR="00EA7E7A" w:rsidRPr="00851784">
        <w:rPr>
          <w:rFonts w:eastAsiaTheme="majorEastAsia"/>
          <w:color w:val="000000" w:themeColor="text1"/>
        </w:rPr>
        <w:t>.</w:t>
      </w:r>
    </w:p>
    <w:p w14:paraId="2F293ACD" w14:textId="77777777" w:rsidR="00863E57" w:rsidRDefault="00863E57" w:rsidP="00B365C7">
      <w:pPr>
        <w:spacing w:line="360" w:lineRule="auto"/>
        <w:ind w:firstLine="720"/>
        <w:rPr>
          <w:rFonts w:eastAsiaTheme="majorEastAsia"/>
          <w:color w:val="000000" w:themeColor="text1"/>
        </w:rPr>
      </w:pPr>
    </w:p>
    <w:p w14:paraId="1775C4B0" w14:textId="7572A8B0" w:rsidR="0072533D" w:rsidRPr="0072533D" w:rsidRDefault="00A31557" w:rsidP="0072533D">
      <w:pPr>
        <w:spacing w:line="360" w:lineRule="auto"/>
        <w:rPr>
          <w:rFonts w:eastAsiaTheme="majorEastAsia"/>
          <w:color w:val="000000" w:themeColor="text1"/>
        </w:rPr>
      </w:pPr>
      <w:r>
        <w:rPr>
          <w:rFonts w:eastAsiaTheme="majorEastAsia"/>
          <w:color w:val="000000" w:themeColor="text1"/>
        </w:rPr>
        <w:t>Research</w:t>
      </w:r>
      <w:r w:rsidR="00863E57">
        <w:rPr>
          <w:rFonts w:eastAsiaTheme="majorEastAsia"/>
          <w:color w:val="000000" w:themeColor="text1"/>
        </w:rPr>
        <w:t xml:space="preserve"> question:</w:t>
      </w:r>
      <w:r w:rsidR="0072533D">
        <w:rPr>
          <w:rFonts w:eastAsiaTheme="majorEastAsia"/>
          <w:color w:val="000000" w:themeColor="text1"/>
        </w:rPr>
        <w:t xml:space="preserve"> </w:t>
      </w:r>
      <w:r w:rsidR="0072533D" w:rsidRPr="0072533D">
        <w:rPr>
          <w:rFonts w:eastAsiaTheme="majorEastAsia"/>
          <w:color w:val="000000" w:themeColor="text1"/>
        </w:rPr>
        <w:t xml:space="preserve">To what extent does structural brain </w:t>
      </w:r>
      <w:r w:rsidR="0072533D" w:rsidRPr="003D08ED">
        <w:rPr>
          <w:rFonts w:eastAsiaTheme="majorEastAsia"/>
          <w:color w:val="000000" w:themeColor="text1"/>
          <w:highlight w:val="yellow"/>
        </w:rPr>
        <w:t>data explain</w:t>
      </w:r>
      <w:r w:rsidR="0072533D" w:rsidRPr="0072533D">
        <w:rPr>
          <w:rFonts w:eastAsiaTheme="majorEastAsia"/>
          <w:color w:val="000000" w:themeColor="text1"/>
        </w:rPr>
        <w:t xml:space="preserve"> the variation in anxiety symptoms as reported by youths versus their parents?</w:t>
      </w:r>
    </w:p>
    <w:p w14:paraId="00443C32" w14:textId="41A52183" w:rsidR="00133118" w:rsidRDefault="0072533D" w:rsidP="0072533D">
      <w:pPr>
        <w:spacing w:line="360" w:lineRule="auto"/>
        <w:rPr>
          <w:rFonts w:eastAsiaTheme="majorEastAsia"/>
          <w:color w:val="000000" w:themeColor="text1"/>
        </w:rPr>
      </w:pPr>
      <w:r>
        <w:rPr>
          <w:rFonts w:eastAsiaTheme="majorEastAsia"/>
          <w:color w:val="000000" w:themeColor="text1"/>
        </w:rPr>
        <w:t xml:space="preserve">Hypothesis: </w:t>
      </w:r>
      <w:r w:rsidR="00D435F7" w:rsidRPr="00D435F7">
        <w:rPr>
          <w:rFonts w:eastAsiaTheme="majorEastAsia"/>
          <w:color w:val="000000" w:themeColor="text1"/>
        </w:rPr>
        <w:t xml:space="preserve"> There will be a significant difference in the </w:t>
      </w:r>
      <w:r w:rsidR="00D435F7" w:rsidRPr="003D08ED">
        <w:rPr>
          <w:rFonts w:eastAsiaTheme="majorEastAsia"/>
          <w:color w:val="000000" w:themeColor="text1"/>
          <w:highlight w:val="yellow"/>
        </w:rPr>
        <w:t>prediction accuracy of</w:t>
      </w:r>
      <w:r w:rsidR="00D435F7" w:rsidRPr="00D435F7">
        <w:rPr>
          <w:rFonts w:eastAsiaTheme="majorEastAsia"/>
          <w:color w:val="000000" w:themeColor="text1"/>
        </w:rPr>
        <w:t xml:space="preserve"> structural brain data between self-reported and parent-reported anxiety symptoms in adolescents with GAD, with an expectation of higher accuracy for self-reported symptoms.</w:t>
      </w:r>
    </w:p>
    <w:p w14:paraId="72BDF1FB" w14:textId="77777777" w:rsidR="0072533D" w:rsidRDefault="0072533D" w:rsidP="00820317">
      <w:pPr>
        <w:rPr>
          <w:rFonts w:eastAsiaTheme="majorEastAsia"/>
          <w:color w:val="000000" w:themeColor="text1"/>
        </w:rPr>
      </w:pPr>
    </w:p>
    <w:p w14:paraId="1E63862A" w14:textId="77777777" w:rsidR="0072533D" w:rsidRPr="00B665E5" w:rsidRDefault="0072533D" w:rsidP="00820317">
      <w:pPr>
        <w:rPr>
          <w:rFonts w:eastAsiaTheme="majorEastAsia"/>
          <w:b/>
          <w:bCs/>
          <w:color w:val="000000" w:themeColor="text1"/>
        </w:rPr>
      </w:pPr>
    </w:p>
    <w:p w14:paraId="64871DCF" w14:textId="6DB7F2B0" w:rsidR="00820317" w:rsidRPr="00B81AF5" w:rsidRDefault="00820317" w:rsidP="00B365C7">
      <w:pPr>
        <w:spacing w:line="360" w:lineRule="auto"/>
        <w:rPr>
          <w:rFonts w:eastAsiaTheme="majorEastAsia"/>
          <w:b/>
          <w:bCs/>
          <w:color w:val="000000" w:themeColor="text1"/>
        </w:rPr>
      </w:pPr>
      <w:r w:rsidRPr="00B81AF5">
        <w:rPr>
          <w:rFonts w:eastAsiaTheme="majorEastAsia"/>
          <w:b/>
          <w:bCs/>
          <w:color w:val="000000" w:themeColor="text1"/>
        </w:rPr>
        <w:t>Methodology</w:t>
      </w:r>
    </w:p>
    <w:p w14:paraId="1305E74D" w14:textId="1E8D7879" w:rsidR="00820317" w:rsidRDefault="00820317" w:rsidP="00B365C7">
      <w:pPr>
        <w:spacing w:line="360" w:lineRule="auto"/>
        <w:ind w:firstLine="720"/>
        <w:rPr>
          <w:color w:val="000000" w:themeColor="text1"/>
        </w:rPr>
      </w:pPr>
      <w:r>
        <w:rPr>
          <w:color w:val="000000" w:themeColor="text1"/>
        </w:rPr>
        <w:t>The</w:t>
      </w:r>
      <w:r w:rsidRPr="00B81AF5">
        <w:rPr>
          <w:color w:val="000000" w:themeColor="text1"/>
        </w:rPr>
        <w:t xml:space="preserve"> Adolescent Brain and Cognitive Development (ABCD) Study</w:t>
      </w:r>
      <w:r>
        <w:rPr>
          <w:color w:val="000000" w:themeColor="text1"/>
        </w:rPr>
        <w:t xml:space="preserve"> is</w:t>
      </w:r>
      <w:r w:rsidRPr="00B81AF5">
        <w:rPr>
          <w:color w:val="000000" w:themeColor="text1"/>
        </w:rPr>
        <w:t xml:space="preserve"> a decade-long investigation tracking children from ages 9-10 through late adolescence and early adulthood. This study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w:t>
      </w:r>
      <w:r w:rsidRPr="00B81AF5">
        <w:rPr>
          <w:color w:val="000000" w:themeColor="text1"/>
        </w:rPr>
        <w:lastRenderedPageBreak/>
        <w:t>environmental factors influencing health and risk factors for physical and mental health issues. It includes 12,000 children at baseline, recruited from 21 research sites across the United States (Karcher &amp; Barch, 2021). The study contains neuroimaging, cognitive assessments, psychosocial surveys, and hormonal measurements. To ensure the cohort is diverse and representative, the ABCD Study employs a multi-stage probability sampling technique, along with weighting methods and stratified sampling within specific regions to minimize selection bias.</w:t>
      </w:r>
    </w:p>
    <w:p w14:paraId="7DCEA5A6" w14:textId="3569D698" w:rsidR="00430323" w:rsidRDefault="00133118" w:rsidP="00B365C7">
      <w:pPr>
        <w:spacing w:line="360" w:lineRule="auto"/>
        <w:ind w:firstLine="720"/>
        <w:rPr>
          <w:color w:val="000000" w:themeColor="text1"/>
        </w:rPr>
      </w:pPr>
      <w:r>
        <w:rPr>
          <w:color w:val="000000" w:themeColor="text1"/>
        </w:rPr>
        <w:t xml:space="preserve">See below for timeline of </w:t>
      </w:r>
      <w:r w:rsidR="00FC5FB5">
        <w:rPr>
          <w:color w:val="000000" w:themeColor="text1"/>
        </w:rPr>
        <w:t>measurements as well as a list of collected questionnaires:</w:t>
      </w:r>
    </w:p>
    <w:tbl>
      <w:tblPr>
        <w:tblStyle w:val="TableGrid"/>
        <w:tblpPr w:leftFromText="180" w:rightFromText="180" w:vertAnchor="text" w:horzAnchor="margin" w:tblpY="138"/>
        <w:tblW w:w="9495" w:type="dxa"/>
        <w:tblLook w:val="04A0" w:firstRow="1" w:lastRow="0" w:firstColumn="1" w:lastColumn="0" w:noHBand="0" w:noVBand="1"/>
      </w:tblPr>
      <w:tblGrid>
        <w:gridCol w:w="1072"/>
        <w:gridCol w:w="968"/>
        <w:gridCol w:w="941"/>
        <w:gridCol w:w="1029"/>
        <w:gridCol w:w="941"/>
        <w:gridCol w:w="937"/>
        <w:gridCol w:w="941"/>
        <w:gridCol w:w="864"/>
        <w:gridCol w:w="933"/>
        <w:gridCol w:w="869"/>
      </w:tblGrid>
      <w:tr w:rsidR="00305246" w:rsidRPr="002438D6" w14:paraId="0C624360" w14:textId="77777777" w:rsidTr="00305246">
        <w:trPr>
          <w:trHeight w:val="421"/>
        </w:trPr>
        <w:tc>
          <w:tcPr>
            <w:tcW w:w="1072" w:type="dxa"/>
          </w:tcPr>
          <w:p w14:paraId="138C21E8" w14:textId="77777777" w:rsidR="00305246" w:rsidRPr="00820317" w:rsidRDefault="00305246" w:rsidP="00305246">
            <w:pPr>
              <w:rPr>
                <w:rFonts w:eastAsiaTheme="majorEastAsia"/>
                <w:b/>
                <w:bCs/>
                <w:color w:val="000000" w:themeColor="text1"/>
                <w:sz w:val="18"/>
                <w:szCs w:val="18"/>
              </w:rPr>
            </w:pPr>
          </w:p>
        </w:tc>
        <w:tc>
          <w:tcPr>
            <w:tcW w:w="968" w:type="dxa"/>
          </w:tcPr>
          <w:p w14:paraId="01FD7669"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 xml:space="preserve">Baseline </w:t>
            </w:r>
          </w:p>
        </w:tc>
        <w:tc>
          <w:tcPr>
            <w:tcW w:w="941" w:type="dxa"/>
          </w:tcPr>
          <w:p w14:paraId="73B4454D"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 xml:space="preserve">6 months </w:t>
            </w:r>
          </w:p>
        </w:tc>
        <w:tc>
          <w:tcPr>
            <w:tcW w:w="1029" w:type="dxa"/>
          </w:tcPr>
          <w:p w14:paraId="65D38CCA"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 xml:space="preserve">Year 1 </w:t>
            </w:r>
          </w:p>
        </w:tc>
        <w:tc>
          <w:tcPr>
            <w:tcW w:w="941" w:type="dxa"/>
          </w:tcPr>
          <w:p w14:paraId="7FCD0ED9"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 xml:space="preserve">18 months </w:t>
            </w:r>
          </w:p>
        </w:tc>
        <w:tc>
          <w:tcPr>
            <w:tcW w:w="937" w:type="dxa"/>
          </w:tcPr>
          <w:p w14:paraId="78BFA97E"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 xml:space="preserve">Year 2 </w:t>
            </w:r>
          </w:p>
        </w:tc>
        <w:tc>
          <w:tcPr>
            <w:tcW w:w="941" w:type="dxa"/>
          </w:tcPr>
          <w:p w14:paraId="6BD640FB"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 xml:space="preserve">30 months </w:t>
            </w:r>
          </w:p>
        </w:tc>
        <w:tc>
          <w:tcPr>
            <w:tcW w:w="864" w:type="dxa"/>
          </w:tcPr>
          <w:p w14:paraId="1587C0EB"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Year 3</w:t>
            </w:r>
          </w:p>
        </w:tc>
        <w:tc>
          <w:tcPr>
            <w:tcW w:w="933" w:type="dxa"/>
          </w:tcPr>
          <w:p w14:paraId="1400A1DC"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 xml:space="preserve">42 months </w:t>
            </w:r>
          </w:p>
        </w:tc>
        <w:tc>
          <w:tcPr>
            <w:tcW w:w="869" w:type="dxa"/>
          </w:tcPr>
          <w:p w14:paraId="774E2805" w14:textId="77777777" w:rsidR="00305246" w:rsidRPr="00820317" w:rsidRDefault="00305246" w:rsidP="00305246">
            <w:pPr>
              <w:rPr>
                <w:rFonts w:eastAsiaTheme="majorEastAsia"/>
                <w:b/>
                <w:bCs/>
                <w:color w:val="000000" w:themeColor="text1"/>
                <w:sz w:val="18"/>
                <w:szCs w:val="18"/>
              </w:rPr>
            </w:pPr>
            <w:r w:rsidRPr="00820317">
              <w:rPr>
                <w:rFonts w:eastAsiaTheme="majorEastAsia"/>
                <w:b/>
                <w:bCs/>
                <w:color w:val="000000" w:themeColor="text1"/>
                <w:sz w:val="18"/>
                <w:szCs w:val="18"/>
              </w:rPr>
              <w:t>Year 4</w:t>
            </w:r>
          </w:p>
        </w:tc>
      </w:tr>
      <w:tr w:rsidR="00305246" w:rsidRPr="002438D6" w14:paraId="2B8B7269" w14:textId="77777777" w:rsidTr="00305246">
        <w:trPr>
          <w:trHeight w:val="421"/>
        </w:trPr>
        <w:tc>
          <w:tcPr>
            <w:tcW w:w="1072" w:type="dxa"/>
          </w:tcPr>
          <w:p w14:paraId="30BF8195"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Contact</w:t>
            </w:r>
          </w:p>
        </w:tc>
        <w:tc>
          <w:tcPr>
            <w:tcW w:w="968" w:type="dxa"/>
          </w:tcPr>
          <w:p w14:paraId="3DDB0473"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In person</w:t>
            </w:r>
          </w:p>
        </w:tc>
        <w:tc>
          <w:tcPr>
            <w:tcW w:w="941" w:type="dxa"/>
          </w:tcPr>
          <w:p w14:paraId="16468905"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Phone/ online</w:t>
            </w:r>
          </w:p>
        </w:tc>
        <w:tc>
          <w:tcPr>
            <w:tcW w:w="1029" w:type="dxa"/>
          </w:tcPr>
          <w:p w14:paraId="2B03451B"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In person</w:t>
            </w:r>
          </w:p>
        </w:tc>
        <w:tc>
          <w:tcPr>
            <w:tcW w:w="941" w:type="dxa"/>
          </w:tcPr>
          <w:p w14:paraId="377EF0CE"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Phone/ online</w:t>
            </w:r>
          </w:p>
        </w:tc>
        <w:tc>
          <w:tcPr>
            <w:tcW w:w="937" w:type="dxa"/>
          </w:tcPr>
          <w:p w14:paraId="1BE8DA11"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In person</w:t>
            </w:r>
          </w:p>
        </w:tc>
        <w:tc>
          <w:tcPr>
            <w:tcW w:w="941" w:type="dxa"/>
          </w:tcPr>
          <w:p w14:paraId="4F027FBD"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Phone/ online</w:t>
            </w:r>
          </w:p>
        </w:tc>
        <w:tc>
          <w:tcPr>
            <w:tcW w:w="864" w:type="dxa"/>
          </w:tcPr>
          <w:p w14:paraId="2DEB4D07"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In person</w:t>
            </w:r>
          </w:p>
        </w:tc>
        <w:tc>
          <w:tcPr>
            <w:tcW w:w="933" w:type="dxa"/>
          </w:tcPr>
          <w:p w14:paraId="36F6D771"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Phone/ online</w:t>
            </w:r>
          </w:p>
        </w:tc>
        <w:tc>
          <w:tcPr>
            <w:tcW w:w="869" w:type="dxa"/>
          </w:tcPr>
          <w:p w14:paraId="36B3D1FC"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In person</w:t>
            </w:r>
          </w:p>
        </w:tc>
      </w:tr>
      <w:tr w:rsidR="00305246" w:rsidRPr="002438D6" w14:paraId="03255723" w14:textId="77777777" w:rsidTr="00305246">
        <w:trPr>
          <w:trHeight w:val="421"/>
        </w:trPr>
        <w:tc>
          <w:tcPr>
            <w:tcW w:w="1072" w:type="dxa"/>
          </w:tcPr>
          <w:p w14:paraId="1FB0F306"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Participant Age</w:t>
            </w:r>
          </w:p>
        </w:tc>
        <w:tc>
          <w:tcPr>
            <w:tcW w:w="968" w:type="dxa"/>
          </w:tcPr>
          <w:p w14:paraId="6267EE97"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9-10 years</w:t>
            </w:r>
          </w:p>
        </w:tc>
        <w:tc>
          <w:tcPr>
            <w:tcW w:w="941" w:type="dxa"/>
          </w:tcPr>
          <w:p w14:paraId="483906A6" w14:textId="77777777" w:rsidR="00305246" w:rsidRPr="002438D6" w:rsidRDefault="00305246" w:rsidP="00305246">
            <w:pPr>
              <w:rPr>
                <w:rFonts w:eastAsiaTheme="majorEastAsia"/>
                <w:color w:val="000000" w:themeColor="text1"/>
                <w:sz w:val="18"/>
                <w:szCs w:val="18"/>
              </w:rPr>
            </w:pPr>
          </w:p>
        </w:tc>
        <w:tc>
          <w:tcPr>
            <w:tcW w:w="1029" w:type="dxa"/>
          </w:tcPr>
          <w:p w14:paraId="4EC0E871"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10-11 years</w:t>
            </w:r>
          </w:p>
        </w:tc>
        <w:tc>
          <w:tcPr>
            <w:tcW w:w="941" w:type="dxa"/>
          </w:tcPr>
          <w:p w14:paraId="59A22498" w14:textId="77777777" w:rsidR="00305246" w:rsidRPr="002438D6" w:rsidRDefault="00305246" w:rsidP="00305246">
            <w:pPr>
              <w:rPr>
                <w:rFonts w:eastAsiaTheme="majorEastAsia"/>
                <w:color w:val="000000" w:themeColor="text1"/>
                <w:sz w:val="18"/>
                <w:szCs w:val="18"/>
              </w:rPr>
            </w:pPr>
          </w:p>
        </w:tc>
        <w:tc>
          <w:tcPr>
            <w:tcW w:w="937" w:type="dxa"/>
          </w:tcPr>
          <w:p w14:paraId="3C62CA7D"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11-12 years</w:t>
            </w:r>
          </w:p>
        </w:tc>
        <w:tc>
          <w:tcPr>
            <w:tcW w:w="941" w:type="dxa"/>
          </w:tcPr>
          <w:p w14:paraId="34FEED23" w14:textId="77777777" w:rsidR="00305246" w:rsidRPr="002438D6" w:rsidRDefault="00305246" w:rsidP="00305246">
            <w:pPr>
              <w:rPr>
                <w:rFonts w:eastAsiaTheme="majorEastAsia"/>
                <w:color w:val="000000" w:themeColor="text1"/>
                <w:sz w:val="18"/>
                <w:szCs w:val="18"/>
              </w:rPr>
            </w:pPr>
          </w:p>
        </w:tc>
        <w:tc>
          <w:tcPr>
            <w:tcW w:w="864" w:type="dxa"/>
          </w:tcPr>
          <w:p w14:paraId="32DC1562"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12-13 years</w:t>
            </w:r>
          </w:p>
        </w:tc>
        <w:tc>
          <w:tcPr>
            <w:tcW w:w="933" w:type="dxa"/>
          </w:tcPr>
          <w:p w14:paraId="402D16E2" w14:textId="77777777" w:rsidR="00305246" w:rsidRPr="002438D6" w:rsidRDefault="00305246" w:rsidP="00305246">
            <w:pPr>
              <w:rPr>
                <w:rFonts w:eastAsiaTheme="majorEastAsia"/>
                <w:color w:val="000000" w:themeColor="text1"/>
                <w:sz w:val="18"/>
                <w:szCs w:val="18"/>
              </w:rPr>
            </w:pPr>
          </w:p>
        </w:tc>
        <w:tc>
          <w:tcPr>
            <w:tcW w:w="869" w:type="dxa"/>
          </w:tcPr>
          <w:p w14:paraId="1CD3C47B"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13-14 years</w:t>
            </w:r>
          </w:p>
        </w:tc>
      </w:tr>
      <w:tr w:rsidR="00305246" w:rsidRPr="002438D6" w14:paraId="0DEBD8A6" w14:textId="77777777" w:rsidTr="00305246">
        <w:trPr>
          <w:trHeight w:val="211"/>
        </w:trPr>
        <w:tc>
          <w:tcPr>
            <w:tcW w:w="9495" w:type="dxa"/>
            <w:gridSpan w:val="10"/>
          </w:tcPr>
          <w:p w14:paraId="4A8C92E3" w14:textId="77777777" w:rsidR="00305246" w:rsidRPr="002438D6" w:rsidRDefault="00305246" w:rsidP="00305246">
            <w:pPr>
              <w:rPr>
                <w:rFonts w:eastAsiaTheme="majorEastAsia"/>
                <w:color w:val="000000" w:themeColor="text1"/>
                <w:sz w:val="18"/>
                <w:szCs w:val="18"/>
              </w:rPr>
            </w:pPr>
            <w:r w:rsidRPr="002438D6">
              <w:rPr>
                <w:rFonts w:eastAsiaTheme="majorEastAsia"/>
                <w:b/>
                <w:bCs/>
                <w:color w:val="000000" w:themeColor="text1"/>
                <w:sz w:val="18"/>
                <w:szCs w:val="18"/>
              </w:rPr>
              <w:t>Mental h</w:t>
            </w:r>
            <w:r>
              <w:rPr>
                <w:rFonts w:eastAsiaTheme="majorEastAsia"/>
                <w:b/>
                <w:bCs/>
                <w:color w:val="000000" w:themeColor="text1"/>
                <w:sz w:val="18"/>
                <w:szCs w:val="18"/>
              </w:rPr>
              <w:t xml:space="preserve">ealth and related factors </w:t>
            </w:r>
          </w:p>
        </w:tc>
      </w:tr>
      <w:tr w:rsidR="00305246" w:rsidRPr="002438D6" w14:paraId="12386A34" w14:textId="77777777" w:rsidTr="00305246">
        <w:trPr>
          <w:trHeight w:val="632"/>
        </w:trPr>
        <w:tc>
          <w:tcPr>
            <w:tcW w:w="1072" w:type="dxa"/>
          </w:tcPr>
          <w:p w14:paraId="2BE31C0B" w14:textId="77777777" w:rsidR="00305246" w:rsidRPr="002438D6" w:rsidRDefault="00305246" w:rsidP="00305246">
            <w:pPr>
              <w:rPr>
                <w:rFonts w:eastAsiaTheme="majorEastAsia"/>
                <w:color w:val="000000" w:themeColor="text1"/>
                <w:sz w:val="18"/>
                <w:szCs w:val="18"/>
              </w:rPr>
            </w:pPr>
            <w:r>
              <w:rPr>
                <w:rFonts w:eastAsiaTheme="majorEastAsia"/>
                <w:color w:val="000000" w:themeColor="text1"/>
                <w:sz w:val="18"/>
                <w:szCs w:val="18"/>
              </w:rPr>
              <w:t xml:space="preserve">Parent-report on youth </w:t>
            </w:r>
          </w:p>
        </w:tc>
        <w:tc>
          <w:tcPr>
            <w:tcW w:w="968" w:type="dxa"/>
          </w:tcPr>
          <w:p w14:paraId="42B78D44"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61764291" wp14:editId="10E4A632">
                  <wp:extent cx="246743" cy="246743"/>
                  <wp:effectExtent l="0" t="0" r="0" b="0"/>
                  <wp:docPr id="1979443738"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16B3372F" w14:textId="77777777" w:rsidR="00305246" w:rsidRPr="002438D6" w:rsidRDefault="00305246" w:rsidP="00305246">
            <w:pPr>
              <w:rPr>
                <w:rFonts w:eastAsiaTheme="majorEastAsia"/>
                <w:color w:val="000000" w:themeColor="text1"/>
                <w:sz w:val="18"/>
                <w:szCs w:val="18"/>
              </w:rPr>
            </w:pPr>
          </w:p>
        </w:tc>
        <w:tc>
          <w:tcPr>
            <w:tcW w:w="1029" w:type="dxa"/>
          </w:tcPr>
          <w:p w14:paraId="7458B281"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2EC886C2" wp14:editId="5DE69BF6">
                  <wp:extent cx="246743" cy="246743"/>
                  <wp:effectExtent l="0" t="0" r="0" b="0"/>
                  <wp:docPr id="1647436644"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09C4F40E" w14:textId="77777777" w:rsidR="00305246" w:rsidRPr="002438D6" w:rsidRDefault="00305246" w:rsidP="00305246">
            <w:pPr>
              <w:rPr>
                <w:rFonts w:eastAsiaTheme="majorEastAsia"/>
                <w:color w:val="000000" w:themeColor="text1"/>
                <w:sz w:val="18"/>
                <w:szCs w:val="18"/>
              </w:rPr>
            </w:pPr>
          </w:p>
        </w:tc>
        <w:tc>
          <w:tcPr>
            <w:tcW w:w="937" w:type="dxa"/>
          </w:tcPr>
          <w:p w14:paraId="63D373DB"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72FA2440" wp14:editId="014D9D12">
                  <wp:extent cx="246743" cy="246743"/>
                  <wp:effectExtent l="0" t="0" r="0" b="0"/>
                  <wp:docPr id="1682537243"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4210904B" w14:textId="77777777" w:rsidR="00305246" w:rsidRPr="002438D6" w:rsidRDefault="00305246" w:rsidP="00305246">
            <w:pPr>
              <w:rPr>
                <w:rFonts w:eastAsiaTheme="majorEastAsia"/>
                <w:color w:val="000000" w:themeColor="text1"/>
                <w:sz w:val="18"/>
                <w:szCs w:val="18"/>
              </w:rPr>
            </w:pPr>
          </w:p>
        </w:tc>
        <w:tc>
          <w:tcPr>
            <w:tcW w:w="864" w:type="dxa"/>
          </w:tcPr>
          <w:p w14:paraId="107C7121"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198F6BB8" wp14:editId="2E2443D1">
                  <wp:extent cx="246743" cy="246743"/>
                  <wp:effectExtent l="0" t="0" r="0" b="0"/>
                  <wp:docPr id="592154732"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33" w:type="dxa"/>
          </w:tcPr>
          <w:p w14:paraId="110CB756" w14:textId="77777777" w:rsidR="00305246" w:rsidRPr="002438D6" w:rsidRDefault="00305246" w:rsidP="00305246">
            <w:pPr>
              <w:rPr>
                <w:rFonts w:eastAsiaTheme="majorEastAsia"/>
                <w:color w:val="000000" w:themeColor="text1"/>
                <w:sz w:val="18"/>
                <w:szCs w:val="18"/>
              </w:rPr>
            </w:pPr>
          </w:p>
        </w:tc>
        <w:tc>
          <w:tcPr>
            <w:tcW w:w="869" w:type="dxa"/>
          </w:tcPr>
          <w:p w14:paraId="2FE2287F"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404A8354" wp14:editId="059CF9E9">
                  <wp:extent cx="246743" cy="246743"/>
                  <wp:effectExtent l="0" t="0" r="0" b="0"/>
                  <wp:docPr id="1646784522"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r>
      <w:tr w:rsidR="00305246" w:rsidRPr="002438D6" w14:paraId="14ECF77F" w14:textId="77777777" w:rsidTr="00305246">
        <w:trPr>
          <w:trHeight w:val="515"/>
        </w:trPr>
        <w:tc>
          <w:tcPr>
            <w:tcW w:w="1072" w:type="dxa"/>
          </w:tcPr>
          <w:p w14:paraId="194F0D1B"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Youth self-report</w:t>
            </w:r>
          </w:p>
        </w:tc>
        <w:tc>
          <w:tcPr>
            <w:tcW w:w="968" w:type="dxa"/>
          </w:tcPr>
          <w:p w14:paraId="08B691D7"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722C06FB" wp14:editId="1E14B2E3">
                  <wp:extent cx="246743" cy="246743"/>
                  <wp:effectExtent l="0" t="0" r="0" b="0"/>
                  <wp:docPr id="1735796549"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5F058E17"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1B1F70EE" wp14:editId="203C125C">
                  <wp:extent cx="246743" cy="246743"/>
                  <wp:effectExtent l="0" t="0" r="0" b="0"/>
                  <wp:docPr id="1753126850"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1029" w:type="dxa"/>
          </w:tcPr>
          <w:p w14:paraId="7328EFE7"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3B991A3B" wp14:editId="7B9015DB">
                  <wp:extent cx="246743" cy="246743"/>
                  <wp:effectExtent l="0" t="0" r="0" b="0"/>
                  <wp:docPr id="1822949446"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0488722C"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61A37D40" wp14:editId="5808E27B">
                  <wp:extent cx="246743" cy="246743"/>
                  <wp:effectExtent l="0" t="0" r="0" b="0"/>
                  <wp:docPr id="674133991"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37" w:type="dxa"/>
          </w:tcPr>
          <w:p w14:paraId="0190C234"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67E5678A" wp14:editId="66C217AF">
                  <wp:extent cx="246743" cy="246743"/>
                  <wp:effectExtent l="0" t="0" r="0" b="0"/>
                  <wp:docPr id="960646136"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2976EB8E"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3F138CC2" wp14:editId="6C0BD5CD">
                  <wp:extent cx="246743" cy="246743"/>
                  <wp:effectExtent l="0" t="0" r="0" b="0"/>
                  <wp:docPr id="593500545"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864" w:type="dxa"/>
          </w:tcPr>
          <w:p w14:paraId="523775EF"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1D1605D2" wp14:editId="70EA15CA">
                  <wp:extent cx="246743" cy="246743"/>
                  <wp:effectExtent l="0" t="0" r="0" b="0"/>
                  <wp:docPr id="716940651"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33" w:type="dxa"/>
          </w:tcPr>
          <w:p w14:paraId="34B444E1" w14:textId="77777777" w:rsidR="00305246" w:rsidRPr="002438D6" w:rsidRDefault="00305246" w:rsidP="00305246">
            <w:pPr>
              <w:rPr>
                <w:rFonts w:eastAsiaTheme="majorEastAsia"/>
                <w:color w:val="000000" w:themeColor="text1"/>
                <w:sz w:val="18"/>
                <w:szCs w:val="18"/>
              </w:rPr>
            </w:pP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5F52D1AE" wp14:editId="0742DE40">
                  <wp:extent cx="246743" cy="246743"/>
                  <wp:effectExtent l="0" t="0" r="0" b="0"/>
                  <wp:docPr id="317155326"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869" w:type="dxa"/>
          </w:tcPr>
          <w:p w14:paraId="02C32EF4"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2B54EF27" wp14:editId="746783F5">
                  <wp:extent cx="246743" cy="246743"/>
                  <wp:effectExtent l="0" t="0" r="0" b="0"/>
                  <wp:docPr id="975737079"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r>
      <w:tr w:rsidR="00305246" w:rsidRPr="002438D6" w14:paraId="5DD15DFC" w14:textId="77777777" w:rsidTr="00305246">
        <w:trPr>
          <w:trHeight w:val="515"/>
        </w:trPr>
        <w:tc>
          <w:tcPr>
            <w:tcW w:w="1072" w:type="dxa"/>
          </w:tcPr>
          <w:p w14:paraId="61DF8719"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Parent self-report</w:t>
            </w:r>
          </w:p>
        </w:tc>
        <w:tc>
          <w:tcPr>
            <w:tcW w:w="968" w:type="dxa"/>
          </w:tcPr>
          <w:p w14:paraId="574EB142"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423E3136" wp14:editId="66F2AAF9">
                  <wp:extent cx="246743" cy="246743"/>
                  <wp:effectExtent l="0" t="0" r="0" b="0"/>
                  <wp:docPr id="1404334041"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00F30F64" w14:textId="77777777" w:rsidR="00305246" w:rsidRPr="002438D6" w:rsidRDefault="00305246" w:rsidP="00305246">
            <w:pPr>
              <w:rPr>
                <w:rFonts w:eastAsiaTheme="majorEastAsia"/>
                <w:color w:val="000000" w:themeColor="text1"/>
                <w:sz w:val="18"/>
                <w:szCs w:val="18"/>
              </w:rPr>
            </w:pPr>
          </w:p>
        </w:tc>
        <w:tc>
          <w:tcPr>
            <w:tcW w:w="1029" w:type="dxa"/>
          </w:tcPr>
          <w:p w14:paraId="07A21DB6" w14:textId="77777777" w:rsidR="00305246" w:rsidRDefault="00305246" w:rsidP="00305246"/>
        </w:tc>
        <w:tc>
          <w:tcPr>
            <w:tcW w:w="941" w:type="dxa"/>
          </w:tcPr>
          <w:p w14:paraId="715A934D" w14:textId="77777777" w:rsidR="00305246" w:rsidRPr="002438D6" w:rsidRDefault="00305246" w:rsidP="00305246">
            <w:pPr>
              <w:rPr>
                <w:rFonts w:eastAsiaTheme="majorEastAsia"/>
                <w:color w:val="000000" w:themeColor="text1"/>
                <w:sz w:val="18"/>
                <w:szCs w:val="18"/>
              </w:rPr>
            </w:pPr>
          </w:p>
        </w:tc>
        <w:tc>
          <w:tcPr>
            <w:tcW w:w="937" w:type="dxa"/>
          </w:tcPr>
          <w:p w14:paraId="3AD1E18E" w14:textId="77777777" w:rsidR="00305246" w:rsidRDefault="00305246" w:rsidP="00305246"/>
        </w:tc>
        <w:tc>
          <w:tcPr>
            <w:tcW w:w="941" w:type="dxa"/>
          </w:tcPr>
          <w:p w14:paraId="20C6C7F3" w14:textId="77777777" w:rsidR="00305246" w:rsidRPr="002438D6" w:rsidRDefault="00305246" w:rsidP="00305246">
            <w:pPr>
              <w:rPr>
                <w:rFonts w:eastAsiaTheme="majorEastAsia"/>
                <w:color w:val="000000" w:themeColor="text1"/>
                <w:sz w:val="18"/>
                <w:szCs w:val="18"/>
              </w:rPr>
            </w:pPr>
          </w:p>
        </w:tc>
        <w:tc>
          <w:tcPr>
            <w:tcW w:w="864" w:type="dxa"/>
          </w:tcPr>
          <w:p w14:paraId="04F17412" w14:textId="77777777" w:rsidR="00305246" w:rsidRDefault="00305246" w:rsidP="00305246"/>
        </w:tc>
        <w:tc>
          <w:tcPr>
            <w:tcW w:w="933" w:type="dxa"/>
          </w:tcPr>
          <w:p w14:paraId="3DFE9242" w14:textId="77777777" w:rsidR="00305246" w:rsidRPr="002438D6" w:rsidRDefault="00305246" w:rsidP="00305246">
            <w:pPr>
              <w:rPr>
                <w:rFonts w:eastAsiaTheme="majorEastAsia"/>
                <w:color w:val="000000" w:themeColor="text1"/>
                <w:sz w:val="18"/>
                <w:szCs w:val="18"/>
              </w:rPr>
            </w:pPr>
          </w:p>
        </w:tc>
        <w:tc>
          <w:tcPr>
            <w:tcW w:w="869" w:type="dxa"/>
          </w:tcPr>
          <w:p w14:paraId="6A3DBEE6" w14:textId="77777777" w:rsidR="00305246" w:rsidRDefault="00305246" w:rsidP="00305246"/>
        </w:tc>
      </w:tr>
      <w:tr w:rsidR="00305246" w:rsidRPr="002438D6" w14:paraId="712697DE" w14:textId="77777777" w:rsidTr="00305246">
        <w:trPr>
          <w:trHeight w:val="632"/>
        </w:trPr>
        <w:tc>
          <w:tcPr>
            <w:tcW w:w="1072" w:type="dxa"/>
          </w:tcPr>
          <w:p w14:paraId="440F83FC"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Parent report on family</w:t>
            </w:r>
          </w:p>
        </w:tc>
        <w:tc>
          <w:tcPr>
            <w:tcW w:w="968" w:type="dxa"/>
          </w:tcPr>
          <w:p w14:paraId="2247228E"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069601CE" wp14:editId="43CFEC2A">
                  <wp:extent cx="246743" cy="246743"/>
                  <wp:effectExtent l="0" t="0" r="0" b="0"/>
                  <wp:docPr id="971968387"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1E056A6B" w14:textId="77777777" w:rsidR="00305246" w:rsidRPr="002438D6" w:rsidRDefault="00305246" w:rsidP="00305246">
            <w:pPr>
              <w:rPr>
                <w:rFonts w:eastAsiaTheme="majorEastAsia"/>
                <w:color w:val="000000" w:themeColor="text1"/>
                <w:sz w:val="18"/>
                <w:szCs w:val="18"/>
              </w:rPr>
            </w:pPr>
          </w:p>
        </w:tc>
        <w:tc>
          <w:tcPr>
            <w:tcW w:w="1029" w:type="dxa"/>
          </w:tcPr>
          <w:p w14:paraId="50D053A0" w14:textId="77777777" w:rsidR="00305246" w:rsidRDefault="00305246" w:rsidP="00305246"/>
        </w:tc>
        <w:tc>
          <w:tcPr>
            <w:tcW w:w="941" w:type="dxa"/>
          </w:tcPr>
          <w:p w14:paraId="63250946" w14:textId="77777777" w:rsidR="00305246" w:rsidRPr="002438D6" w:rsidRDefault="00305246" w:rsidP="00305246">
            <w:pPr>
              <w:rPr>
                <w:rFonts w:eastAsiaTheme="majorEastAsia"/>
                <w:color w:val="000000" w:themeColor="text1"/>
                <w:sz w:val="18"/>
                <w:szCs w:val="18"/>
              </w:rPr>
            </w:pPr>
          </w:p>
        </w:tc>
        <w:tc>
          <w:tcPr>
            <w:tcW w:w="937" w:type="dxa"/>
          </w:tcPr>
          <w:p w14:paraId="1EE1AEB4" w14:textId="77777777" w:rsidR="00305246" w:rsidRDefault="00305246" w:rsidP="00305246"/>
        </w:tc>
        <w:tc>
          <w:tcPr>
            <w:tcW w:w="941" w:type="dxa"/>
          </w:tcPr>
          <w:p w14:paraId="52F7F4EC" w14:textId="77777777" w:rsidR="00305246" w:rsidRPr="002438D6" w:rsidRDefault="00305246" w:rsidP="00305246">
            <w:pPr>
              <w:rPr>
                <w:rFonts w:eastAsiaTheme="majorEastAsia"/>
                <w:color w:val="000000" w:themeColor="text1"/>
                <w:sz w:val="18"/>
                <w:szCs w:val="18"/>
              </w:rPr>
            </w:pPr>
          </w:p>
        </w:tc>
        <w:tc>
          <w:tcPr>
            <w:tcW w:w="864" w:type="dxa"/>
          </w:tcPr>
          <w:p w14:paraId="0D7BF128" w14:textId="77777777" w:rsidR="00305246" w:rsidRDefault="00305246" w:rsidP="00305246"/>
        </w:tc>
        <w:tc>
          <w:tcPr>
            <w:tcW w:w="933" w:type="dxa"/>
          </w:tcPr>
          <w:p w14:paraId="66DF42D4" w14:textId="77777777" w:rsidR="00305246" w:rsidRPr="002438D6" w:rsidRDefault="00305246" w:rsidP="00305246">
            <w:pPr>
              <w:rPr>
                <w:rFonts w:eastAsiaTheme="majorEastAsia"/>
                <w:color w:val="000000" w:themeColor="text1"/>
                <w:sz w:val="18"/>
                <w:szCs w:val="18"/>
              </w:rPr>
            </w:pPr>
          </w:p>
        </w:tc>
        <w:tc>
          <w:tcPr>
            <w:tcW w:w="869" w:type="dxa"/>
          </w:tcPr>
          <w:p w14:paraId="1E139ACE" w14:textId="77777777" w:rsidR="00305246" w:rsidRDefault="00305246" w:rsidP="00305246"/>
        </w:tc>
      </w:tr>
      <w:tr w:rsidR="00305246" w:rsidRPr="002438D6" w14:paraId="1756BCFF" w14:textId="77777777" w:rsidTr="00305246">
        <w:trPr>
          <w:trHeight w:val="632"/>
        </w:trPr>
        <w:tc>
          <w:tcPr>
            <w:tcW w:w="1072" w:type="dxa"/>
          </w:tcPr>
          <w:p w14:paraId="709D00FA" w14:textId="77777777" w:rsidR="00305246" w:rsidRDefault="00305246" w:rsidP="00305246">
            <w:pPr>
              <w:rPr>
                <w:rFonts w:eastAsiaTheme="majorEastAsia"/>
                <w:color w:val="000000" w:themeColor="text1"/>
                <w:sz w:val="18"/>
                <w:szCs w:val="18"/>
              </w:rPr>
            </w:pPr>
            <w:r>
              <w:rPr>
                <w:rFonts w:eastAsiaTheme="majorEastAsia"/>
                <w:color w:val="000000" w:themeColor="text1"/>
                <w:sz w:val="18"/>
                <w:szCs w:val="18"/>
              </w:rPr>
              <w:t>Teacher-report on youth</w:t>
            </w:r>
          </w:p>
        </w:tc>
        <w:tc>
          <w:tcPr>
            <w:tcW w:w="968" w:type="dxa"/>
          </w:tcPr>
          <w:p w14:paraId="523B7539"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1AA3E72B" wp14:editId="1CE82348">
                  <wp:extent cx="246743" cy="246743"/>
                  <wp:effectExtent l="0" t="0" r="0" b="0"/>
                  <wp:docPr id="512361471"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4E0CF608" w14:textId="77777777" w:rsidR="00305246" w:rsidRPr="002438D6" w:rsidRDefault="00305246" w:rsidP="00305246">
            <w:pPr>
              <w:rPr>
                <w:rFonts w:eastAsiaTheme="majorEastAsia"/>
                <w:color w:val="000000" w:themeColor="text1"/>
                <w:sz w:val="18"/>
                <w:szCs w:val="18"/>
              </w:rPr>
            </w:pPr>
          </w:p>
        </w:tc>
        <w:tc>
          <w:tcPr>
            <w:tcW w:w="1029" w:type="dxa"/>
          </w:tcPr>
          <w:p w14:paraId="62476114"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109E3FA6" wp14:editId="21FC8984">
                  <wp:extent cx="246743" cy="246743"/>
                  <wp:effectExtent l="0" t="0" r="0" b="0"/>
                  <wp:docPr id="1911648281"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676423BD" w14:textId="77777777" w:rsidR="00305246" w:rsidRPr="002438D6" w:rsidRDefault="00305246" w:rsidP="00305246">
            <w:pPr>
              <w:rPr>
                <w:rFonts w:eastAsiaTheme="majorEastAsia"/>
                <w:color w:val="000000" w:themeColor="text1"/>
                <w:sz w:val="18"/>
                <w:szCs w:val="18"/>
              </w:rPr>
            </w:pPr>
          </w:p>
        </w:tc>
        <w:tc>
          <w:tcPr>
            <w:tcW w:w="937" w:type="dxa"/>
          </w:tcPr>
          <w:p w14:paraId="07BC03F2"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703447FE" wp14:editId="20BAE093">
                  <wp:extent cx="246743" cy="246743"/>
                  <wp:effectExtent l="0" t="0" r="0" b="0"/>
                  <wp:docPr id="715680422"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52F01F2C" w14:textId="77777777" w:rsidR="00305246" w:rsidRPr="002438D6" w:rsidRDefault="00305246" w:rsidP="00305246">
            <w:pPr>
              <w:rPr>
                <w:rFonts w:eastAsiaTheme="majorEastAsia"/>
                <w:color w:val="000000" w:themeColor="text1"/>
                <w:sz w:val="18"/>
                <w:szCs w:val="18"/>
              </w:rPr>
            </w:pPr>
          </w:p>
        </w:tc>
        <w:tc>
          <w:tcPr>
            <w:tcW w:w="864" w:type="dxa"/>
          </w:tcPr>
          <w:p w14:paraId="60E8C707"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3C462046" wp14:editId="6950F219">
                  <wp:extent cx="246743" cy="246743"/>
                  <wp:effectExtent l="0" t="0" r="0" b="0"/>
                  <wp:docPr id="323032285"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33" w:type="dxa"/>
          </w:tcPr>
          <w:p w14:paraId="5D2854E6" w14:textId="77777777" w:rsidR="00305246" w:rsidRPr="002438D6" w:rsidRDefault="00305246" w:rsidP="00305246">
            <w:pPr>
              <w:rPr>
                <w:rFonts w:eastAsiaTheme="majorEastAsia"/>
                <w:color w:val="000000" w:themeColor="text1"/>
                <w:sz w:val="18"/>
                <w:szCs w:val="18"/>
              </w:rPr>
            </w:pPr>
          </w:p>
        </w:tc>
        <w:tc>
          <w:tcPr>
            <w:tcW w:w="869" w:type="dxa"/>
          </w:tcPr>
          <w:p w14:paraId="6F4DD0F8"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61648CA9" wp14:editId="69751897">
                  <wp:extent cx="246743" cy="246743"/>
                  <wp:effectExtent l="0" t="0" r="0" b="0"/>
                  <wp:docPr id="496239005"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r>
      <w:tr w:rsidR="00305246" w:rsidRPr="002438D6" w14:paraId="2D14B27B" w14:textId="77777777" w:rsidTr="00305246">
        <w:trPr>
          <w:trHeight w:val="211"/>
        </w:trPr>
        <w:tc>
          <w:tcPr>
            <w:tcW w:w="9495" w:type="dxa"/>
            <w:gridSpan w:val="10"/>
          </w:tcPr>
          <w:p w14:paraId="759D42B3" w14:textId="77777777" w:rsidR="00305246" w:rsidRDefault="00305246" w:rsidP="00305246">
            <w:r w:rsidRPr="00820317">
              <w:rPr>
                <w:rFonts w:eastAsiaTheme="majorEastAsia"/>
                <w:b/>
                <w:bCs/>
                <w:color w:val="000000" w:themeColor="text1"/>
                <w:sz w:val="18"/>
                <w:szCs w:val="18"/>
              </w:rPr>
              <w:t>Brain Imaging</w:t>
            </w:r>
          </w:p>
        </w:tc>
      </w:tr>
      <w:tr w:rsidR="00305246" w:rsidRPr="002438D6" w14:paraId="793AD7D0" w14:textId="77777777" w:rsidTr="00305246">
        <w:trPr>
          <w:trHeight w:val="515"/>
        </w:trPr>
        <w:tc>
          <w:tcPr>
            <w:tcW w:w="1072" w:type="dxa"/>
          </w:tcPr>
          <w:p w14:paraId="0E0FF047" w14:textId="77777777" w:rsidR="00305246" w:rsidRDefault="00305246" w:rsidP="00305246">
            <w:pPr>
              <w:rPr>
                <w:rFonts w:eastAsiaTheme="majorEastAsia"/>
                <w:color w:val="000000" w:themeColor="text1"/>
                <w:sz w:val="18"/>
                <w:szCs w:val="18"/>
              </w:rPr>
            </w:pPr>
            <w:proofErr w:type="spellStart"/>
            <w:r>
              <w:rPr>
                <w:rFonts w:eastAsiaTheme="majorEastAsia"/>
                <w:color w:val="000000" w:themeColor="text1"/>
                <w:sz w:val="18"/>
                <w:szCs w:val="18"/>
              </w:rPr>
              <w:t>sMRI</w:t>
            </w:r>
            <w:proofErr w:type="spellEnd"/>
          </w:p>
        </w:tc>
        <w:tc>
          <w:tcPr>
            <w:tcW w:w="968" w:type="dxa"/>
          </w:tcPr>
          <w:p w14:paraId="1481943C"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4C3D59F5" wp14:editId="68B0E491">
                  <wp:extent cx="246743" cy="246743"/>
                  <wp:effectExtent l="0" t="0" r="0" b="0"/>
                  <wp:docPr id="909210919"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p>
        </w:tc>
        <w:tc>
          <w:tcPr>
            <w:tcW w:w="941" w:type="dxa"/>
          </w:tcPr>
          <w:p w14:paraId="4A207D5D" w14:textId="77777777" w:rsidR="00305246" w:rsidRPr="002438D6" w:rsidRDefault="00305246" w:rsidP="00305246">
            <w:pPr>
              <w:rPr>
                <w:rFonts w:eastAsiaTheme="majorEastAsia"/>
                <w:color w:val="000000" w:themeColor="text1"/>
                <w:sz w:val="18"/>
                <w:szCs w:val="18"/>
              </w:rPr>
            </w:pPr>
          </w:p>
        </w:tc>
        <w:tc>
          <w:tcPr>
            <w:tcW w:w="1029" w:type="dxa"/>
          </w:tcPr>
          <w:p w14:paraId="5B764222"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653D8356" wp14:editId="03E47355">
                  <wp:extent cx="246743" cy="246743"/>
                  <wp:effectExtent l="0" t="0" r="0" b="0"/>
                  <wp:docPr id="244775029"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62D3FB06" w14:textId="77777777" w:rsidR="00305246" w:rsidRPr="002438D6" w:rsidRDefault="00305246" w:rsidP="00305246">
            <w:pPr>
              <w:rPr>
                <w:rFonts w:eastAsiaTheme="majorEastAsia"/>
                <w:color w:val="000000" w:themeColor="text1"/>
                <w:sz w:val="18"/>
                <w:szCs w:val="18"/>
              </w:rPr>
            </w:pPr>
          </w:p>
        </w:tc>
        <w:tc>
          <w:tcPr>
            <w:tcW w:w="937" w:type="dxa"/>
          </w:tcPr>
          <w:p w14:paraId="79520BDD" w14:textId="77777777" w:rsidR="00305246" w:rsidRDefault="00305246" w:rsidP="00305246">
            <w:r>
              <w:t xml:space="preserve"> </w:t>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6E29255F" wp14:editId="3B8B8EC5">
                  <wp:extent cx="246743" cy="246743"/>
                  <wp:effectExtent l="0" t="0" r="0" b="0"/>
                  <wp:docPr id="656879628"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41" w:type="dxa"/>
          </w:tcPr>
          <w:p w14:paraId="5B9E12B2" w14:textId="77777777" w:rsidR="00305246" w:rsidRPr="002438D6" w:rsidRDefault="00305246" w:rsidP="00305246">
            <w:pPr>
              <w:rPr>
                <w:rFonts w:eastAsiaTheme="majorEastAsia"/>
                <w:color w:val="000000" w:themeColor="text1"/>
                <w:sz w:val="18"/>
                <w:szCs w:val="18"/>
              </w:rPr>
            </w:pPr>
          </w:p>
        </w:tc>
        <w:tc>
          <w:tcPr>
            <w:tcW w:w="864" w:type="dxa"/>
          </w:tcPr>
          <w:p w14:paraId="5A4028C7"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73F0EC90" wp14:editId="7CB037B6">
                  <wp:extent cx="246743" cy="246743"/>
                  <wp:effectExtent l="0" t="0" r="0" b="0"/>
                  <wp:docPr id="48094666"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c>
          <w:tcPr>
            <w:tcW w:w="933" w:type="dxa"/>
          </w:tcPr>
          <w:p w14:paraId="6A694CA2" w14:textId="77777777" w:rsidR="00305246" w:rsidRPr="002438D6" w:rsidRDefault="00305246" w:rsidP="00305246">
            <w:pPr>
              <w:rPr>
                <w:rFonts w:eastAsiaTheme="majorEastAsia"/>
                <w:color w:val="000000" w:themeColor="text1"/>
                <w:sz w:val="18"/>
                <w:szCs w:val="18"/>
              </w:rPr>
            </w:pPr>
          </w:p>
        </w:tc>
        <w:tc>
          <w:tcPr>
            <w:tcW w:w="869" w:type="dxa"/>
          </w:tcPr>
          <w:p w14:paraId="64ADC3BB" w14:textId="77777777" w:rsidR="00305246" w:rsidRDefault="00305246" w:rsidP="00305246">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fldChar w:fldCharType="begin"/>
            </w:r>
            <w:r>
              <w:instrText xml:space="preserve"> INCLUDEPICTURE "/Users/maggieheimvik/Library/Group Containers/UBF8T346G9.ms/WebArchiveCopyPasteTempFiles/com.microsoft.Word/check-mark-button-emoji-clipart-xl.png" \* MERGEFORMATINET </w:instrText>
            </w:r>
            <w:r>
              <w:fldChar w:fldCharType="separate"/>
            </w:r>
            <w:r>
              <w:rPr>
                <w:noProof/>
              </w:rPr>
              <w:drawing>
                <wp:inline distT="0" distB="0" distL="0" distR="0" wp14:anchorId="0F56346F" wp14:editId="79264EC7">
                  <wp:extent cx="246743" cy="246743"/>
                  <wp:effectExtent l="0" t="0" r="0" b="0"/>
                  <wp:docPr id="338601347" name="Picture 1" descr="Check mark button - Free vector emoji on creazill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button - Free vector emoji on creazilla.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540" cy="270540"/>
                          </a:xfrm>
                          <a:prstGeom prst="rect">
                            <a:avLst/>
                          </a:prstGeom>
                          <a:noFill/>
                          <a:ln>
                            <a:noFill/>
                          </a:ln>
                        </pic:spPr>
                      </pic:pic>
                    </a:graphicData>
                  </a:graphic>
                </wp:inline>
              </w:drawing>
            </w:r>
            <w:r>
              <w:fldChar w:fldCharType="end"/>
            </w:r>
            <w:r>
              <w:fldChar w:fldCharType="end"/>
            </w:r>
          </w:p>
        </w:tc>
      </w:tr>
    </w:tbl>
    <w:p w14:paraId="0855E3DC" w14:textId="77777777" w:rsidR="00430323" w:rsidRDefault="00430323" w:rsidP="00430323">
      <w:pPr>
        <w:rPr>
          <w:color w:val="000000" w:themeColor="text1"/>
        </w:rPr>
      </w:pPr>
    </w:p>
    <w:p w14:paraId="2053FD79" w14:textId="77777777" w:rsidR="00430323" w:rsidRDefault="00430323" w:rsidP="00430323">
      <w:pPr>
        <w:rPr>
          <w:color w:val="000000" w:themeColor="text1"/>
        </w:rPr>
      </w:pPr>
    </w:p>
    <w:tbl>
      <w:tblPr>
        <w:tblStyle w:val="TableGridLight"/>
        <w:tblW w:w="9535" w:type="dxa"/>
        <w:tblLook w:val="04A0" w:firstRow="1" w:lastRow="0" w:firstColumn="1" w:lastColumn="0" w:noHBand="0" w:noVBand="1"/>
      </w:tblPr>
      <w:tblGrid>
        <w:gridCol w:w="3116"/>
        <w:gridCol w:w="3117"/>
        <w:gridCol w:w="3302"/>
      </w:tblGrid>
      <w:tr w:rsidR="00430323" w14:paraId="1FDB3511" w14:textId="77777777" w:rsidTr="00430323">
        <w:tc>
          <w:tcPr>
            <w:tcW w:w="9535" w:type="dxa"/>
            <w:gridSpan w:val="3"/>
          </w:tcPr>
          <w:p w14:paraId="04E3525C" w14:textId="45BF9F79" w:rsidR="00430323" w:rsidRPr="00B365C7" w:rsidRDefault="00430323" w:rsidP="00305246">
            <w:pPr>
              <w:jc w:val="center"/>
              <w:rPr>
                <w:color w:val="000000" w:themeColor="text1"/>
                <w:sz w:val="18"/>
                <w:szCs w:val="18"/>
              </w:rPr>
            </w:pPr>
            <w:r w:rsidRPr="00B365C7">
              <w:rPr>
                <w:b/>
                <w:bCs/>
                <w:color w:val="000000" w:themeColor="text1"/>
                <w:sz w:val="18"/>
                <w:szCs w:val="18"/>
              </w:rPr>
              <w:t xml:space="preserve">Mental Health </w:t>
            </w:r>
            <w:r w:rsidR="00305246" w:rsidRPr="00B365C7">
              <w:rPr>
                <w:b/>
                <w:bCs/>
                <w:color w:val="000000" w:themeColor="text1"/>
                <w:sz w:val="18"/>
                <w:szCs w:val="18"/>
              </w:rPr>
              <w:t>Assessment</w:t>
            </w:r>
          </w:p>
        </w:tc>
      </w:tr>
      <w:tr w:rsidR="00430323" w14:paraId="62186AC9" w14:textId="77777777" w:rsidTr="00430323">
        <w:tc>
          <w:tcPr>
            <w:tcW w:w="3116" w:type="dxa"/>
          </w:tcPr>
          <w:p w14:paraId="3163D95B" w14:textId="2ABDE776" w:rsidR="000429F0" w:rsidRPr="00B365C7" w:rsidRDefault="000429F0" w:rsidP="000429F0">
            <w:pPr>
              <w:rPr>
                <w:color w:val="000000" w:themeColor="text1"/>
                <w:sz w:val="18"/>
                <w:szCs w:val="18"/>
              </w:rPr>
            </w:pPr>
            <w:r w:rsidRPr="00B365C7">
              <w:rPr>
                <w:color w:val="000000" w:themeColor="text1"/>
                <w:sz w:val="18"/>
                <w:szCs w:val="18"/>
              </w:rPr>
              <w:t xml:space="preserve">Construct </w:t>
            </w:r>
          </w:p>
        </w:tc>
        <w:tc>
          <w:tcPr>
            <w:tcW w:w="3117" w:type="dxa"/>
          </w:tcPr>
          <w:p w14:paraId="5E9651AC" w14:textId="56ACCA0B" w:rsidR="000429F0" w:rsidRPr="00B365C7" w:rsidRDefault="000429F0" w:rsidP="000429F0">
            <w:pPr>
              <w:rPr>
                <w:color w:val="000000" w:themeColor="text1"/>
                <w:sz w:val="18"/>
                <w:szCs w:val="18"/>
              </w:rPr>
            </w:pPr>
            <w:r w:rsidRPr="00B365C7">
              <w:rPr>
                <w:color w:val="000000" w:themeColor="text1"/>
                <w:sz w:val="18"/>
                <w:szCs w:val="18"/>
              </w:rPr>
              <w:t>Measure</w:t>
            </w:r>
          </w:p>
        </w:tc>
        <w:tc>
          <w:tcPr>
            <w:tcW w:w="3302" w:type="dxa"/>
          </w:tcPr>
          <w:p w14:paraId="47C8169D" w14:textId="705B7A01" w:rsidR="000429F0" w:rsidRPr="00B365C7" w:rsidRDefault="000429F0" w:rsidP="000429F0">
            <w:pPr>
              <w:rPr>
                <w:color w:val="000000" w:themeColor="text1"/>
                <w:sz w:val="18"/>
                <w:szCs w:val="18"/>
              </w:rPr>
            </w:pPr>
            <w:r w:rsidRPr="00B365C7">
              <w:rPr>
                <w:color w:val="000000" w:themeColor="text1"/>
                <w:sz w:val="18"/>
                <w:szCs w:val="18"/>
              </w:rPr>
              <w:t>Citations</w:t>
            </w:r>
          </w:p>
        </w:tc>
      </w:tr>
      <w:tr w:rsidR="00430323" w14:paraId="6396BA9E" w14:textId="77777777" w:rsidTr="00430323">
        <w:tc>
          <w:tcPr>
            <w:tcW w:w="9535" w:type="dxa"/>
            <w:gridSpan w:val="3"/>
          </w:tcPr>
          <w:p w14:paraId="320421F0" w14:textId="3B72626D" w:rsidR="00430323" w:rsidRPr="00B365C7" w:rsidRDefault="00430323" w:rsidP="00430323">
            <w:pPr>
              <w:rPr>
                <w:b/>
                <w:bCs/>
                <w:i/>
                <w:iCs/>
                <w:color w:val="000000" w:themeColor="text1"/>
                <w:sz w:val="18"/>
                <w:szCs w:val="18"/>
              </w:rPr>
            </w:pPr>
            <w:r w:rsidRPr="00B365C7">
              <w:rPr>
                <w:b/>
                <w:bCs/>
                <w:i/>
                <w:iCs/>
                <w:color w:val="000000" w:themeColor="text1"/>
                <w:sz w:val="18"/>
                <w:szCs w:val="18"/>
              </w:rPr>
              <w:t>Parent about Youth/Family</w:t>
            </w:r>
          </w:p>
        </w:tc>
      </w:tr>
      <w:tr w:rsidR="00430323" w:rsidRPr="008B3EB6" w14:paraId="739F0085" w14:textId="77777777" w:rsidTr="00430323">
        <w:tc>
          <w:tcPr>
            <w:tcW w:w="3116" w:type="dxa"/>
          </w:tcPr>
          <w:p w14:paraId="675EB85F" w14:textId="30B57CC4" w:rsidR="000429F0" w:rsidRPr="00B365C7" w:rsidRDefault="000429F0" w:rsidP="000429F0">
            <w:pPr>
              <w:rPr>
                <w:color w:val="000000" w:themeColor="text1"/>
                <w:sz w:val="18"/>
                <w:szCs w:val="18"/>
              </w:rPr>
            </w:pPr>
            <w:r w:rsidRPr="00B365C7">
              <w:rPr>
                <w:color w:val="000000" w:themeColor="text1"/>
                <w:sz w:val="18"/>
                <w:szCs w:val="18"/>
              </w:rPr>
              <w:t>Categorical Psychopathology and Suicide/ Homicidally</w:t>
            </w:r>
          </w:p>
        </w:tc>
        <w:tc>
          <w:tcPr>
            <w:tcW w:w="3117" w:type="dxa"/>
          </w:tcPr>
          <w:p w14:paraId="37D40E92" w14:textId="07426F89" w:rsidR="000429F0" w:rsidRPr="00B365C7" w:rsidRDefault="000429F0" w:rsidP="000429F0">
            <w:pPr>
              <w:rPr>
                <w:color w:val="000000" w:themeColor="text1"/>
                <w:sz w:val="18"/>
                <w:szCs w:val="18"/>
              </w:rPr>
            </w:pPr>
            <w:r w:rsidRPr="00B365C7">
              <w:rPr>
                <w:color w:val="000000" w:themeColor="text1"/>
                <w:sz w:val="18"/>
                <w:szCs w:val="18"/>
              </w:rPr>
              <w:t>Kiddie Schedule for Affective Disorders and Schizophrenia (KSADS-5)</w:t>
            </w:r>
          </w:p>
        </w:tc>
        <w:tc>
          <w:tcPr>
            <w:tcW w:w="3302" w:type="dxa"/>
          </w:tcPr>
          <w:p w14:paraId="5D3FCCC1" w14:textId="3D987212" w:rsidR="000429F0" w:rsidRPr="00B365C7" w:rsidRDefault="0033211D" w:rsidP="000429F0">
            <w:pPr>
              <w:rPr>
                <w:color w:val="000000" w:themeColor="text1"/>
                <w:sz w:val="18"/>
                <w:szCs w:val="18"/>
                <w:lang w:val="nb-NO"/>
              </w:rPr>
            </w:pPr>
            <w:r w:rsidRPr="00B365C7">
              <w:rPr>
                <w:color w:val="000000" w:themeColor="text1"/>
                <w:sz w:val="18"/>
                <w:szCs w:val="18"/>
                <w:lang w:val="nb-NO"/>
              </w:rPr>
              <w:fldChar w:fldCharType="begin"/>
            </w:r>
            <w:r w:rsidRPr="00B365C7">
              <w:rPr>
                <w:color w:val="000000" w:themeColor="text1"/>
                <w:sz w:val="18"/>
                <w:szCs w:val="18"/>
                <w:lang w:val="nb-NO"/>
              </w:rPr>
              <w:instrText xml:space="preserve"> ADDIN ZOTERO_ITEM CSL_CITATION {"citationID":"h8VJX7ON","properties":{"formattedCitation":"(Kaufman &amp; Birmaher, 2013; K. A. Kobak et al., 2013; K. Kobak &amp; Kaufman, 2015)","plainCitation":"(Kaufman &amp; Birmaher, 2013; K. A. Kobak et al., 2013; K. Kobak &amp; Kaufman, 2015)","noteIndex":0},"citationItems":[{"id":2944,"uris":["http://zotero.org/users/13126831/items/LVWYNFDA"],"itemData":{"id":2944,"type":"report","event-place":"New Haven, CT","publisher":"Yale University","publisher-place":"New Haven, CT","title":"KSADS-PL","author":[{"family":"Kaufman","given":"J."},{"family":"Birmaher","given":"B."}],"issued":{"date-parts":[["2013"]]}}},{"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B365C7">
              <w:rPr>
                <w:color w:val="000000" w:themeColor="text1"/>
                <w:sz w:val="18"/>
                <w:szCs w:val="18"/>
                <w:lang w:val="nb-NO"/>
              </w:rPr>
              <w:fldChar w:fldCharType="separate"/>
            </w:r>
            <w:r w:rsidRPr="00B365C7">
              <w:rPr>
                <w:noProof/>
                <w:color w:val="000000" w:themeColor="text1"/>
                <w:sz w:val="18"/>
                <w:szCs w:val="18"/>
                <w:lang w:val="nb-NO"/>
              </w:rPr>
              <w:t>(Kaufman &amp; Birmaher, 2013; K. A. Kobak et al., 2013; K. Kobak &amp; Kaufman, 2015)</w:t>
            </w:r>
            <w:r w:rsidRPr="00B365C7">
              <w:rPr>
                <w:color w:val="000000" w:themeColor="text1"/>
                <w:sz w:val="18"/>
                <w:szCs w:val="18"/>
                <w:lang w:val="nb-NO"/>
              </w:rPr>
              <w:fldChar w:fldCharType="end"/>
            </w:r>
            <w:r w:rsidRPr="00B365C7">
              <w:rPr>
                <w:color w:val="000000" w:themeColor="text1"/>
                <w:sz w:val="18"/>
                <w:szCs w:val="18"/>
                <w:lang w:val="nb-NO"/>
              </w:rPr>
              <w:t xml:space="preserve"> </w:t>
            </w:r>
          </w:p>
        </w:tc>
      </w:tr>
      <w:tr w:rsidR="00430323" w14:paraId="1ACB3174" w14:textId="77777777" w:rsidTr="00430323">
        <w:tc>
          <w:tcPr>
            <w:tcW w:w="3116" w:type="dxa"/>
          </w:tcPr>
          <w:p w14:paraId="35E3EA8C" w14:textId="3C198142" w:rsidR="000429F0" w:rsidRPr="00B365C7" w:rsidRDefault="000429F0" w:rsidP="000429F0">
            <w:pPr>
              <w:rPr>
                <w:color w:val="000000" w:themeColor="text1"/>
                <w:sz w:val="18"/>
                <w:szCs w:val="18"/>
              </w:rPr>
            </w:pPr>
            <w:r w:rsidRPr="00B365C7">
              <w:rPr>
                <w:color w:val="000000" w:themeColor="text1"/>
                <w:sz w:val="18"/>
                <w:szCs w:val="18"/>
              </w:rPr>
              <w:t>Dimensional Psychopathology/Adaptive Function</w:t>
            </w:r>
          </w:p>
        </w:tc>
        <w:tc>
          <w:tcPr>
            <w:tcW w:w="3117" w:type="dxa"/>
          </w:tcPr>
          <w:p w14:paraId="03A9DCD9" w14:textId="53F7CA59" w:rsidR="000429F0" w:rsidRPr="00B365C7" w:rsidRDefault="000429F0" w:rsidP="000429F0">
            <w:pPr>
              <w:rPr>
                <w:color w:val="000000" w:themeColor="text1"/>
                <w:sz w:val="18"/>
                <w:szCs w:val="18"/>
              </w:rPr>
            </w:pPr>
            <w:r w:rsidRPr="00B365C7">
              <w:rPr>
                <w:color w:val="000000" w:themeColor="text1"/>
                <w:sz w:val="18"/>
                <w:szCs w:val="18"/>
              </w:rPr>
              <w:t>Achenbach Child Behavior Check List</w:t>
            </w:r>
          </w:p>
        </w:tc>
        <w:tc>
          <w:tcPr>
            <w:tcW w:w="3302" w:type="dxa"/>
          </w:tcPr>
          <w:p w14:paraId="268A1819" w14:textId="467EF1EB" w:rsidR="0033211D" w:rsidRPr="00B365C7" w:rsidRDefault="0033211D" w:rsidP="000429F0">
            <w:pPr>
              <w:rPr>
                <w:color w:val="000000" w:themeColor="text1"/>
                <w:sz w:val="18"/>
                <w:szCs w:val="18"/>
              </w:rPr>
            </w:pPr>
            <w:r w:rsidRPr="00B365C7">
              <w:rPr>
                <w:color w:val="000000" w:themeColor="text1"/>
                <w:sz w:val="18"/>
                <w:szCs w:val="18"/>
              </w:rPr>
              <w:fldChar w:fldCharType="begin"/>
            </w:r>
            <w:r w:rsidRPr="00B365C7">
              <w:rPr>
                <w:color w:val="000000" w:themeColor="text1"/>
                <w:sz w:val="18"/>
                <w:szCs w:val="18"/>
              </w:rPr>
              <w:instrText xml:space="preserve"> ADDIN ZOTERO_ITEM CSL_CITATION {"citationID":"D51QXbUm","properties":{"formattedCitation":"(Achenbach, 2009)","plainCitation":"(Achenbach, 2009)","noteIndex":0},"citationItems":[{"id":2950,"uris":["http://zotero.org/users/13126831/items/VJT32CTB"],"itemData":{"id":2950,"type":"book","ISBN":"1-932975-13-6","publisher":"University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B365C7">
              <w:rPr>
                <w:color w:val="000000" w:themeColor="text1"/>
                <w:sz w:val="18"/>
                <w:szCs w:val="18"/>
              </w:rPr>
              <w:fldChar w:fldCharType="separate"/>
            </w:r>
            <w:r w:rsidRPr="00B365C7">
              <w:rPr>
                <w:noProof/>
                <w:color w:val="000000" w:themeColor="text1"/>
                <w:sz w:val="18"/>
                <w:szCs w:val="18"/>
              </w:rPr>
              <w:t>(Achenbach, 2009)</w:t>
            </w:r>
            <w:r w:rsidRPr="00B365C7">
              <w:rPr>
                <w:color w:val="000000" w:themeColor="text1"/>
                <w:sz w:val="18"/>
                <w:szCs w:val="18"/>
              </w:rPr>
              <w:fldChar w:fldCharType="end"/>
            </w:r>
          </w:p>
        </w:tc>
      </w:tr>
      <w:tr w:rsidR="00430323" w14:paraId="217F0AC5" w14:textId="77777777" w:rsidTr="00430323">
        <w:tc>
          <w:tcPr>
            <w:tcW w:w="3116" w:type="dxa"/>
          </w:tcPr>
          <w:p w14:paraId="0034F5BA" w14:textId="106171C9" w:rsidR="000429F0" w:rsidRPr="00B365C7" w:rsidRDefault="000429F0" w:rsidP="000429F0">
            <w:pPr>
              <w:rPr>
                <w:color w:val="000000" w:themeColor="text1"/>
                <w:sz w:val="18"/>
                <w:szCs w:val="18"/>
              </w:rPr>
            </w:pPr>
            <w:r w:rsidRPr="00B365C7">
              <w:rPr>
                <w:color w:val="000000" w:themeColor="text1"/>
                <w:sz w:val="18"/>
                <w:szCs w:val="18"/>
              </w:rPr>
              <w:t>History of Mental Health and Substance Abuse Services</w:t>
            </w:r>
          </w:p>
        </w:tc>
        <w:tc>
          <w:tcPr>
            <w:tcW w:w="3117" w:type="dxa"/>
          </w:tcPr>
          <w:p w14:paraId="0AC39819" w14:textId="2391FD27" w:rsidR="000429F0" w:rsidRPr="00B365C7" w:rsidRDefault="000429F0" w:rsidP="000429F0">
            <w:pPr>
              <w:rPr>
                <w:color w:val="000000" w:themeColor="text1"/>
                <w:sz w:val="18"/>
                <w:szCs w:val="18"/>
              </w:rPr>
            </w:pPr>
            <w:r w:rsidRPr="00B365C7">
              <w:rPr>
                <w:color w:val="000000" w:themeColor="text1"/>
                <w:sz w:val="18"/>
                <w:szCs w:val="18"/>
              </w:rPr>
              <w:t>Introduction to Kiddie Schedule for Affective Disorder and Schizophrenia</w:t>
            </w:r>
          </w:p>
        </w:tc>
        <w:tc>
          <w:tcPr>
            <w:tcW w:w="3302" w:type="dxa"/>
          </w:tcPr>
          <w:p w14:paraId="0CAE9B0D" w14:textId="612ECC07" w:rsidR="000429F0" w:rsidRPr="00B365C7" w:rsidRDefault="0033211D" w:rsidP="000429F0">
            <w:pPr>
              <w:rPr>
                <w:color w:val="000000" w:themeColor="text1"/>
                <w:sz w:val="18"/>
                <w:szCs w:val="18"/>
              </w:rPr>
            </w:pPr>
            <w:r w:rsidRPr="00B365C7">
              <w:rPr>
                <w:color w:val="000000" w:themeColor="text1"/>
                <w:sz w:val="18"/>
                <w:szCs w:val="18"/>
              </w:rPr>
              <w:fldChar w:fldCharType="begin"/>
            </w:r>
            <w:r w:rsidRPr="00B365C7">
              <w:rPr>
                <w:color w:val="000000" w:themeColor="text1"/>
                <w:sz w:val="18"/>
                <w:szCs w:val="18"/>
              </w:rPr>
              <w:instrText xml:space="preserve"> ADDIN ZOTERO_ITEM CSL_CITATION {"citationID":"8zdge4EG","properties":{"formattedCitation":"(K. Kobak &amp; Kaufman, 2015)","plainCitation":"(K. Kobak &amp; Kaufman, 2015)","noteIndex":0},"citationItems":[{"id":2951,"uris":["http://zotero.org/users/13126831/items/8XE2T3EQ"],"itemData":{"id":2951,"type":"article-journal","container-title":"Center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B365C7">
              <w:rPr>
                <w:color w:val="000000" w:themeColor="text1"/>
                <w:sz w:val="18"/>
                <w:szCs w:val="18"/>
              </w:rPr>
              <w:fldChar w:fldCharType="separate"/>
            </w:r>
            <w:r w:rsidRPr="00B365C7">
              <w:rPr>
                <w:noProof/>
                <w:color w:val="000000" w:themeColor="text1"/>
                <w:sz w:val="18"/>
                <w:szCs w:val="18"/>
              </w:rPr>
              <w:t>(K. Kobak &amp; Kaufman, 2015)</w:t>
            </w:r>
            <w:r w:rsidRPr="00B365C7">
              <w:rPr>
                <w:color w:val="000000" w:themeColor="text1"/>
                <w:sz w:val="18"/>
                <w:szCs w:val="18"/>
              </w:rPr>
              <w:fldChar w:fldCharType="end"/>
            </w:r>
          </w:p>
        </w:tc>
      </w:tr>
      <w:tr w:rsidR="000429F0" w14:paraId="549312EC" w14:textId="77777777" w:rsidTr="00430323">
        <w:tc>
          <w:tcPr>
            <w:tcW w:w="9535" w:type="dxa"/>
            <w:gridSpan w:val="3"/>
          </w:tcPr>
          <w:p w14:paraId="02D8DC96" w14:textId="3B7611EA" w:rsidR="000429F0" w:rsidRPr="00B365C7" w:rsidRDefault="000429F0" w:rsidP="000429F0">
            <w:pPr>
              <w:rPr>
                <w:b/>
                <w:bCs/>
                <w:i/>
                <w:iCs/>
                <w:color w:val="000000" w:themeColor="text1"/>
                <w:sz w:val="18"/>
                <w:szCs w:val="18"/>
              </w:rPr>
            </w:pPr>
            <w:r w:rsidRPr="00B365C7">
              <w:rPr>
                <w:b/>
                <w:bCs/>
                <w:i/>
                <w:iCs/>
                <w:color w:val="000000" w:themeColor="text1"/>
                <w:sz w:val="18"/>
                <w:szCs w:val="18"/>
              </w:rPr>
              <w:t>Youth about Self</w:t>
            </w:r>
          </w:p>
        </w:tc>
      </w:tr>
      <w:tr w:rsidR="0033211D" w:rsidRPr="008B3EB6" w14:paraId="25E59442" w14:textId="77777777" w:rsidTr="00430323">
        <w:tc>
          <w:tcPr>
            <w:tcW w:w="3116" w:type="dxa"/>
          </w:tcPr>
          <w:p w14:paraId="264131EB" w14:textId="7327448C" w:rsidR="000429F0" w:rsidRPr="00B365C7" w:rsidRDefault="000429F0" w:rsidP="000429F0">
            <w:pPr>
              <w:rPr>
                <w:color w:val="000000" w:themeColor="text1"/>
                <w:sz w:val="18"/>
                <w:szCs w:val="18"/>
              </w:rPr>
            </w:pPr>
            <w:r w:rsidRPr="00B365C7">
              <w:rPr>
                <w:color w:val="000000" w:themeColor="text1"/>
                <w:sz w:val="18"/>
                <w:szCs w:val="18"/>
              </w:rPr>
              <w:t>Categorical Psychopathology and Suicide</w:t>
            </w:r>
          </w:p>
        </w:tc>
        <w:tc>
          <w:tcPr>
            <w:tcW w:w="3117" w:type="dxa"/>
          </w:tcPr>
          <w:p w14:paraId="2E24BCA5" w14:textId="2C3581C0" w:rsidR="000429F0" w:rsidRPr="00B365C7" w:rsidRDefault="000429F0" w:rsidP="000429F0">
            <w:pPr>
              <w:rPr>
                <w:color w:val="000000" w:themeColor="text1"/>
                <w:sz w:val="18"/>
                <w:szCs w:val="18"/>
              </w:rPr>
            </w:pPr>
            <w:r w:rsidRPr="00B365C7">
              <w:rPr>
                <w:color w:val="000000" w:themeColor="text1"/>
                <w:sz w:val="18"/>
                <w:szCs w:val="18"/>
              </w:rPr>
              <w:t>Kiddie Schedule for Affective Disorders and Schizophrenia (KSADS-5) [Mood Disorders (minus sex questions), Separation Anxiety Disorder, Social Anxiety Disorder, Generalized Anxiety Disorder, Sleep Problems, Suicidality]</w:t>
            </w:r>
          </w:p>
        </w:tc>
        <w:tc>
          <w:tcPr>
            <w:tcW w:w="3302" w:type="dxa"/>
          </w:tcPr>
          <w:p w14:paraId="5265C93A" w14:textId="0F7DB0B3" w:rsidR="000429F0" w:rsidRPr="00B365C7" w:rsidRDefault="0033211D" w:rsidP="000429F0">
            <w:pPr>
              <w:rPr>
                <w:color w:val="000000" w:themeColor="text1"/>
                <w:sz w:val="18"/>
                <w:szCs w:val="18"/>
                <w:lang w:val="nb-NO"/>
              </w:rPr>
            </w:pPr>
            <w:r w:rsidRPr="00B365C7">
              <w:rPr>
                <w:color w:val="000000" w:themeColor="text1"/>
                <w:sz w:val="18"/>
                <w:szCs w:val="18"/>
                <w:lang w:val="nb-NO"/>
              </w:rPr>
              <w:fldChar w:fldCharType="begin"/>
            </w:r>
            <w:r w:rsidRPr="00B365C7">
              <w:rPr>
                <w:color w:val="000000" w:themeColor="text1"/>
                <w:sz w:val="18"/>
                <w:szCs w:val="18"/>
                <w:lang w:val="nb-NO"/>
              </w:rPr>
              <w:instrText xml:space="preserve"> ADDIN ZOTERO_ITEM CSL_CITATION {"citationID":"7ceq7Tm4","properties":{"formattedCitation":"(Kaufman &amp; Birmaher, 2013; K. A. Kobak et al., 2013; K. Kobak &amp; Kaufman, 2015)","plainCitation":"(Kaufman &amp; Birmaher, 2013; K. A. Kobak et al., 2013; K. Kobak &amp; Kaufman, 2015)","noteIndex":0},"citationItems":[{"id":2944,"uris":["http://zotero.org/users/13126831/items/LVWYNFDA"],"itemData":{"id":2944,"type":"report","event-place":"New Haven, CT","publisher":"Yale University","publisher-place":"New Haven, CT","title":"KSADS-PL","author":[{"family":"Kaufman","given":"J."},{"family":"Birmaher","given":"B."}],"issued":{"date-parts":[["2013"]]}}},{"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id":2951,"uris":["http://zotero.org/users/13126831/items/8XE2T3EQ"],"itemData":{"id":2951,"type":"article-journal","container-title":"Center for Telepsychology, Madison, WI","journalAbbreviation":"Center for Telepsychology, Madison, WI","title":"Ksads-comp","author":[{"family":"Kobak","given":"K."},{"family":"Kaufman","given":"J"}],"issued":{"date-parts":[["2015"]]}}}],"schema":"https://github.com/citation-style-language/schema/raw/master/csl-citation.json"} </w:instrText>
            </w:r>
            <w:r w:rsidRPr="00B365C7">
              <w:rPr>
                <w:color w:val="000000" w:themeColor="text1"/>
                <w:sz w:val="18"/>
                <w:szCs w:val="18"/>
                <w:lang w:val="nb-NO"/>
              </w:rPr>
              <w:fldChar w:fldCharType="separate"/>
            </w:r>
            <w:r w:rsidRPr="00B365C7">
              <w:rPr>
                <w:noProof/>
                <w:color w:val="000000" w:themeColor="text1"/>
                <w:sz w:val="18"/>
                <w:szCs w:val="18"/>
                <w:lang w:val="nb-NO"/>
              </w:rPr>
              <w:t>(Kaufman &amp; Birmaher, 2013; K. A. Kobak et al., 2013; K. Kobak &amp; Kaufman, 2015)</w:t>
            </w:r>
            <w:r w:rsidRPr="00B365C7">
              <w:rPr>
                <w:color w:val="000000" w:themeColor="text1"/>
                <w:sz w:val="18"/>
                <w:szCs w:val="18"/>
                <w:lang w:val="nb-NO"/>
              </w:rPr>
              <w:fldChar w:fldCharType="end"/>
            </w:r>
          </w:p>
        </w:tc>
      </w:tr>
      <w:tr w:rsidR="000429F0" w14:paraId="1E2837A2" w14:textId="77777777" w:rsidTr="00430323">
        <w:tc>
          <w:tcPr>
            <w:tcW w:w="9535" w:type="dxa"/>
            <w:gridSpan w:val="3"/>
          </w:tcPr>
          <w:p w14:paraId="287EA90E" w14:textId="05DDA261" w:rsidR="000429F0" w:rsidRPr="00B365C7" w:rsidRDefault="000429F0" w:rsidP="00430323">
            <w:pPr>
              <w:rPr>
                <w:b/>
                <w:bCs/>
                <w:i/>
                <w:iCs/>
                <w:color w:val="000000" w:themeColor="text1"/>
                <w:sz w:val="18"/>
                <w:szCs w:val="18"/>
              </w:rPr>
            </w:pPr>
            <w:r w:rsidRPr="00B365C7">
              <w:rPr>
                <w:b/>
                <w:bCs/>
                <w:i/>
                <w:iCs/>
                <w:color w:val="000000" w:themeColor="text1"/>
                <w:sz w:val="18"/>
                <w:szCs w:val="18"/>
              </w:rPr>
              <w:t>Parent about Self and Family</w:t>
            </w:r>
          </w:p>
        </w:tc>
      </w:tr>
      <w:tr w:rsidR="000429F0" w14:paraId="528044EF" w14:textId="77777777" w:rsidTr="00430323">
        <w:tc>
          <w:tcPr>
            <w:tcW w:w="3116" w:type="dxa"/>
          </w:tcPr>
          <w:p w14:paraId="7DF9DA25" w14:textId="5DA3B442" w:rsidR="000429F0" w:rsidRPr="00B365C7" w:rsidRDefault="000429F0" w:rsidP="000429F0">
            <w:pPr>
              <w:rPr>
                <w:color w:val="000000" w:themeColor="text1"/>
                <w:sz w:val="18"/>
                <w:szCs w:val="18"/>
              </w:rPr>
            </w:pPr>
            <w:r w:rsidRPr="00B365C7">
              <w:rPr>
                <w:color w:val="000000" w:themeColor="text1"/>
                <w:sz w:val="18"/>
                <w:szCs w:val="18"/>
              </w:rPr>
              <w:lastRenderedPageBreak/>
              <w:t>Dimensional Psychopathology/Adaptive Function</w:t>
            </w:r>
          </w:p>
        </w:tc>
        <w:tc>
          <w:tcPr>
            <w:tcW w:w="3117" w:type="dxa"/>
          </w:tcPr>
          <w:p w14:paraId="7532C2BC" w14:textId="0F8AA86D" w:rsidR="000429F0" w:rsidRPr="00B365C7" w:rsidRDefault="000429F0" w:rsidP="000429F0">
            <w:pPr>
              <w:rPr>
                <w:color w:val="000000" w:themeColor="text1"/>
                <w:sz w:val="18"/>
                <w:szCs w:val="18"/>
              </w:rPr>
            </w:pPr>
            <w:r w:rsidRPr="00B365C7">
              <w:rPr>
                <w:color w:val="000000" w:themeColor="text1"/>
                <w:sz w:val="18"/>
                <w:szCs w:val="18"/>
              </w:rPr>
              <w:t>Achenbach Adult Self Report Questionnaire</w:t>
            </w:r>
          </w:p>
        </w:tc>
        <w:tc>
          <w:tcPr>
            <w:tcW w:w="3302" w:type="dxa"/>
          </w:tcPr>
          <w:p w14:paraId="3765ABE5" w14:textId="71CDDFBA" w:rsidR="000429F0" w:rsidRPr="00B365C7" w:rsidRDefault="0033211D" w:rsidP="000429F0">
            <w:pPr>
              <w:rPr>
                <w:color w:val="000000" w:themeColor="text1"/>
                <w:sz w:val="18"/>
                <w:szCs w:val="18"/>
              </w:rPr>
            </w:pPr>
            <w:r w:rsidRPr="00B365C7">
              <w:rPr>
                <w:color w:val="000000" w:themeColor="text1"/>
                <w:sz w:val="18"/>
                <w:szCs w:val="18"/>
              </w:rPr>
              <w:fldChar w:fldCharType="begin"/>
            </w:r>
            <w:r w:rsidRPr="00B365C7">
              <w:rPr>
                <w:color w:val="000000" w:themeColor="text1"/>
                <w:sz w:val="18"/>
                <w:szCs w:val="18"/>
              </w:rPr>
              <w:instrText xml:space="preserve"> ADDIN ZOTERO_ITEM CSL_CITATION {"citationID":"wNuwQ5PW","properties":{"formattedCitation":"(Achenbach, 2009)","plainCitation":"(Achenbach, 2009)","noteIndex":0},"citationItems":[{"id":2950,"uris":["http://zotero.org/users/13126831/items/VJT32CTB"],"itemData":{"id":2950,"type":"book","ISBN":"1-932975-13-6","publisher":"University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B365C7">
              <w:rPr>
                <w:color w:val="000000" w:themeColor="text1"/>
                <w:sz w:val="18"/>
                <w:szCs w:val="18"/>
              </w:rPr>
              <w:fldChar w:fldCharType="separate"/>
            </w:r>
            <w:r w:rsidRPr="00B365C7">
              <w:rPr>
                <w:noProof/>
                <w:color w:val="000000" w:themeColor="text1"/>
                <w:sz w:val="18"/>
                <w:szCs w:val="18"/>
              </w:rPr>
              <w:t>(Achenbach, 2009)</w:t>
            </w:r>
            <w:r w:rsidRPr="00B365C7">
              <w:rPr>
                <w:color w:val="000000" w:themeColor="text1"/>
                <w:sz w:val="18"/>
                <w:szCs w:val="18"/>
              </w:rPr>
              <w:fldChar w:fldCharType="end"/>
            </w:r>
          </w:p>
        </w:tc>
      </w:tr>
      <w:tr w:rsidR="00430323" w:rsidRPr="008B3EB6" w14:paraId="1124C94B" w14:textId="77777777" w:rsidTr="00430323">
        <w:tc>
          <w:tcPr>
            <w:tcW w:w="3116" w:type="dxa"/>
          </w:tcPr>
          <w:p w14:paraId="5B20C223" w14:textId="58A32372" w:rsidR="000429F0" w:rsidRPr="00B365C7" w:rsidRDefault="000429F0" w:rsidP="000429F0">
            <w:pPr>
              <w:rPr>
                <w:color w:val="000000" w:themeColor="text1"/>
                <w:sz w:val="18"/>
                <w:szCs w:val="18"/>
              </w:rPr>
            </w:pPr>
            <w:r w:rsidRPr="00B365C7">
              <w:rPr>
                <w:color w:val="000000" w:themeColor="text1"/>
                <w:sz w:val="18"/>
                <w:szCs w:val="18"/>
              </w:rPr>
              <w:t>Family History of Psychopathology</w:t>
            </w:r>
          </w:p>
        </w:tc>
        <w:tc>
          <w:tcPr>
            <w:tcW w:w="3117" w:type="dxa"/>
          </w:tcPr>
          <w:p w14:paraId="12C498C7" w14:textId="23BF1DD9" w:rsidR="000429F0" w:rsidRPr="00B365C7" w:rsidRDefault="000429F0" w:rsidP="000429F0">
            <w:pPr>
              <w:rPr>
                <w:color w:val="000000" w:themeColor="text1"/>
                <w:sz w:val="18"/>
                <w:szCs w:val="18"/>
              </w:rPr>
            </w:pPr>
            <w:r w:rsidRPr="00B365C7">
              <w:rPr>
                <w:color w:val="000000" w:themeColor="text1"/>
                <w:sz w:val="18"/>
                <w:szCs w:val="18"/>
              </w:rPr>
              <w:t>Modification of the Family History Assessment from NCANDA</w:t>
            </w:r>
          </w:p>
        </w:tc>
        <w:tc>
          <w:tcPr>
            <w:tcW w:w="3302" w:type="dxa"/>
          </w:tcPr>
          <w:p w14:paraId="1B25B887" w14:textId="79E29AE5" w:rsidR="0033211D" w:rsidRPr="00B365C7" w:rsidRDefault="0033211D" w:rsidP="000429F0">
            <w:pPr>
              <w:rPr>
                <w:color w:val="000000" w:themeColor="text1"/>
                <w:sz w:val="18"/>
                <w:szCs w:val="18"/>
                <w:lang w:val="nb-NO"/>
              </w:rPr>
            </w:pPr>
            <w:r w:rsidRPr="00B365C7">
              <w:rPr>
                <w:color w:val="000000" w:themeColor="text1"/>
                <w:sz w:val="18"/>
                <w:szCs w:val="18"/>
              </w:rPr>
              <w:fldChar w:fldCharType="begin"/>
            </w:r>
            <w:r w:rsidR="00A66EB2">
              <w:rPr>
                <w:color w:val="000000" w:themeColor="text1"/>
                <w:sz w:val="18"/>
                <w:szCs w:val="18"/>
                <w:lang w:val="nb-NO"/>
              </w:rPr>
              <w:instrText xml:space="preserve"> ADDIN ZOTERO_ITEM CSL_CITATION {"citationID":"bLtn2ZfO","properties":{"formattedCitation":"(Brown et al., 2015)","plainCitation":"(Brown et al., 2015)","noteIndex":0},"citationItems":[{"id":2952,"uris":["http://zotero.org/users/13126831/items/685T37ZS"],"itemData":{"id":2952,"type":"article-journal","container-title":"Journal of studies on alcohol and drugs","ISSN":"1937-1888","issue":"6","journalAbbreviation":"Journal of studies on alcohol and drugs","note":"publisher: Rutgers University","page":"895-908","title":"The National Consortium on Alcohol and NeuroDevelopment in Adolescence (NCANDA): a multisite study of adolescent development and substance use","volume":"76","author":[{"family":"Brown","given":"Sandra A"},{"family":"Brumback","given":"TY"},{"family":"Tomlinson","given":"Kristin"},{"family":"Cummins","given":"Kevin"},{"family":"Thompson","given":"Wesley K"},{"family":"Nagel","given":"Bonnie J"},{"family":"De Bellis","given":"Michael D"},{"family":"Hooper","given":"Stephen R"},{"family":"Clark","given":"Duncan B"},{"family":"Chung","given":"Tammy"}],"issued":{"date-parts":[["2015"]]}}}],"schema":"https://github.com/citation-style-language/schema/raw/master/csl-citation.json"} </w:instrText>
            </w:r>
            <w:r w:rsidRPr="00B365C7">
              <w:rPr>
                <w:color w:val="000000" w:themeColor="text1"/>
                <w:sz w:val="18"/>
                <w:szCs w:val="18"/>
              </w:rPr>
              <w:fldChar w:fldCharType="separate"/>
            </w:r>
            <w:r w:rsidR="00A66EB2">
              <w:rPr>
                <w:noProof/>
                <w:color w:val="000000" w:themeColor="text1"/>
                <w:sz w:val="18"/>
                <w:szCs w:val="18"/>
                <w:lang w:val="nb-NO"/>
              </w:rPr>
              <w:t>(Brown et al., 2015)</w:t>
            </w:r>
            <w:r w:rsidRPr="00B365C7">
              <w:rPr>
                <w:color w:val="000000" w:themeColor="text1"/>
                <w:sz w:val="18"/>
                <w:szCs w:val="18"/>
              </w:rPr>
              <w:fldChar w:fldCharType="end"/>
            </w:r>
          </w:p>
        </w:tc>
      </w:tr>
      <w:tr w:rsidR="000429F0" w14:paraId="3611FF01" w14:textId="77777777" w:rsidTr="00430323">
        <w:tc>
          <w:tcPr>
            <w:tcW w:w="9535" w:type="dxa"/>
            <w:gridSpan w:val="3"/>
          </w:tcPr>
          <w:p w14:paraId="73343CEB" w14:textId="68307020" w:rsidR="000429F0" w:rsidRPr="00B365C7" w:rsidRDefault="000429F0" w:rsidP="00430323">
            <w:pPr>
              <w:rPr>
                <w:b/>
                <w:bCs/>
                <w:color w:val="000000" w:themeColor="text1"/>
                <w:sz w:val="18"/>
                <w:szCs w:val="18"/>
              </w:rPr>
            </w:pPr>
            <w:r w:rsidRPr="00B365C7">
              <w:rPr>
                <w:b/>
                <w:bCs/>
                <w:i/>
                <w:iCs/>
                <w:color w:val="000000" w:themeColor="text1"/>
                <w:sz w:val="18"/>
                <w:szCs w:val="18"/>
              </w:rPr>
              <w:t>Teacher About Youth</w:t>
            </w:r>
          </w:p>
        </w:tc>
      </w:tr>
      <w:tr w:rsidR="00430323" w14:paraId="4A4B8107" w14:textId="77777777" w:rsidTr="00430323">
        <w:tc>
          <w:tcPr>
            <w:tcW w:w="3116" w:type="dxa"/>
          </w:tcPr>
          <w:p w14:paraId="74060D33" w14:textId="447960FF" w:rsidR="000429F0" w:rsidRPr="00B365C7" w:rsidRDefault="000429F0" w:rsidP="000429F0">
            <w:pPr>
              <w:rPr>
                <w:color w:val="000000" w:themeColor="text1"/>
                <w:sz w:val="18"/>
                <w:szCs w:val="18"/>
              </w:rPr>
            </w:pPr>
            <w:r w:rsidRPr="00B365C7">
              <w:rPr>
                <w:color w:val="000000" w:themeColor="text1"/>
                <w:sz w:val="18"/>
                <w:szCs w:val="18"/>
              </w:rPr>
              <w:t>Dimensional Psychopathology/Adaptive Function</w:t>
            </w:r>
          </w:p>
        </w:tc>
        <w:tc>
          <w:tcPr>
            <w:tcW w:w="3117" w:type="dxa"/>
          </w:tcPr>
          <w:p w14:paraId="273546CE" w14:textId="46BDDEDF" w:rsidR="000429F0" w:rsidRPr="00B365C7" w:rsidRDefault="000429F0" w:rsidP="000429F0">
            <w:pPr>
              <w:rPr>
                <w:color w:val="000000" w:themeColor="text1"/>
                <w:sz w:val="18"/>
                <w:szCs w:val="18"/>
              </w:rPr>
            </w:pPr>
            <w:r w:rsidRPr="00B365C7">
              <w:rPr>
                <w:color w:val="000000" w:themeColor="text1"/>
                <w:sz w:val="18"/>
                <w:szCs w:val="18"/>
              </w:rPr>
              <w:t>Achenbach Brief Problem Monitor</w:t>
            </w:r>
          </w:p>
        </w:tc>
        <w:tc>
          <w:tcPr>
            <w:tcW w:w="3302" w:type="dxa"/>
          </w:tcPr>
          <w:p w14:paraId="41EA0841" w14:textId="37CE0828" w:rsidR="000429F0" w:rsidRPr="00B365C7" w:rsidRDefault="0033211D" w:rsidP="000429F0">
            <w:pPr>
              <w:rPr>
                <w:color w:val="000000" w:themeColor="text1"/>
                <w:sz w:val="18"/>
                <w:szCs w:val="18"/>
              </w:rPr>
            </w:pPr>
            <w:r w:rsidRPr="00B365C7">
              <w:rPr>
                <w:color w:val="000000" w:themeColor="text1"/>
                <w:sz w:val="18"/>
                <w:szCs w:val="18"/>
              </w:rPr>
              <w:fldChar w:fldCharType="begin"/>
            </w:r>
            <w:r w:rsidRPr="00B365C7">
              <w:rPr>
                <w:color w:val="000000" w:themeColor="text1"/>
                <w:sz w:val="18"/>
                <w:szCs w:val="18"/>
              </w:rPr>
              <w:instrText xml:space="preserve"> ADDIN ZOTERO_ITEM CSL_CITATION {"citationID":"D9nfGvrJ","properties":{"formattedCitation":"(Achenbach, 2009)","plainCitation":"(Achenbach, 2009)","noteIndex":0},"citationItems":[{"id":2950,"uris":["http://zotero.org/users/13126831/items/VJT32CTB"],"itemData":{"id":2950,"type":"book","ISBN":"1-932975-13-6","publisher":"University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B365C7">
              <w:rPr>
                <w:color w:val="000000" w:themeColor="text1"/>
                <w:sz w:val="18"/>
                <w:szCs w:val="18"/>
              </w:rPr>
              <w:fldChar w:fldCharType="separate"/>
            </w:r>
            <w:r w:rsidRPr="00B365C7">
              <w:rPr>
                <w:noProof/>
                <w:color w:val="000000" w:themeColor="text1"/>
                <w:sz w:val="18"/>
                <w:szCs w:val="18"/>
              </w:rPr>
              <w:t>(Achenbach, 2009)</w:t>
            </w:r>
            <w:r w:rsidRPr="00B365C7">
              <w:rPr>
                <w:color w:val="000000" w:themeColor="text1"/>
                <w:sz w:val="18"/>
                <w:szCs w:val="18"/>
              </w:rPr>
              <w:fldChar w:fldCharType="end"/>
            </w:r>
          </w:p>
        </w:tc>
      </w:tr>
    </w:tbl>
    <w:p w14:paraId="7702EF14" w14:textId="77777777" w:rsidR="000429F0" w:rsidRDefault="000429F0" w:rsidP="000429F0">
      <w:pPr>
        <w:ind w:firstLine="720"/>
        <w:rPr>
          <w:color w:val="000000" w:themeColor="text1"/>
        </w:rPr>
      </w:pPr>
    </w:p>
    <w:p w14:paraId="33C8C6E5" w14:textId="77777777" w:rsidR="00430323" w:rsidRDefault="00430323" w:rsidP="00B365C7">
      <w:pPr>
        <w:rPr>
          <w:color w:val="000000" w:themeColor="text1"/>
        </w:rPr>
      </w:pPr>
    </w:p>
    <w:p w14:paraId="1508A040" w14:textId="77777777" w:rsidR="00430323" w:rsidRDefault="00430323" w:rsidP="000429F0">
      <w:pPr>
        <w:ind w:firstLine="720"/>
        <w:rPr>
          <w:color w:val="000000" w:themeColor="text1"/>
        </w:rPr>
      </w:pPr>
    </w:p>
    <w:tbl>
      <w:tblPr>
        <w:tblStyle w:val="TableGridLight"/>
        <w:tblW w:w="9535" w:type="dxa"/>
        <w:tblLook w:val="04A0" w:firstRow="1" w:lastRow="0" w:firstColumn="1" w:lastColumn="0" w:noHBand="0" w:noVBand="1"/>
      </w:tblPr>
      <w:tblGrid>
        <w:gridCol w:w="3116"/>
        <w:gridCol w:w="3117"/>
        <w:gridCol w:w="3302"/>
      </w:tblGrid>
      <w:tr w:rsidR="00430323" w14:paraId="1F3C4BE7" w14:textId="77777777" w:rsidTr="00490BBA">
        <w:tc>
          <w:tcPr>
            <w:tcW w:w="9535" w:type="dxa"/>
            <w:gridSpan w:val="3"/>
          </w:tcPr>
          <w:p w14:paraId="2EB635D7" w14:textId="3E671A77" w:rsidR="00430323" w:rsidRPr="00B365C7" w:rsidRDefault="00430323" w:rsidP="00490BBA">
            <w:pPr>
              <w:jc w:val="center"/>
              <w:rPr>
                <w:color w:val="000000" w:themeColor="text1"/>
                <w:sz w:val="18"/>
                <w:szCs w:val="18"/>
              </w:rPr>
            </w:pPr>
            <w:r w:rsidRPr="00B365C7">
              <w:rPr>
                <w:b/>
                <w:bCs/>
                <w:color w:val="000000" w:themeColor="text1"/>
                <w:sz w:val="18"/>
                <w:szCs w:val="18"/>
              </w:rPr>
              <w:t>Demographic</w:t>
            </w:r>
            <w:r w:rsidR="00FC5FB5" w:rsidRPr="00B365C7">
              <w:rPr>
                <w:b/>
                <w:bCs/>
                <w:color w:val="000000" w:themeColor="text1"/>
                <w:sz w:val="18"/>
                <w:szCs w:val="18"/>
              </w:rPr>
              <w:t xml:space="preserve"> Assessment</w:t>
            </w:r>
          </w:p>
        </w:tc>
      </w:tr>
      <w:tr w:rsidR="00430323" w14:paraId="7E244F94" w14:textId="77777777" w:rsidTr="00490BBA">
        <w:tc>
          <w:tcPr>
            <w:tcW w:w="3116" w:type="dxa"/>
          </w:tcPr>
          <w:p w14:paraId="6738ABBE" w14:textId="77777777" w:rsidR="00430323" w:rsidRPr="00B365C7" w:rsidRDefault="00430323" w:rsidP="00490BBA">
            <w:pPr>
              <w:rPr>
                <w:color w:val="000000" w:themeColor="text1"/>
                <w:sz w:val="18"/>
                <w:szCs w:val="18"/>
              </w:rPr>
            </w:pPr>
            <w:r w:rsidRPr="00B365C7">
              <w:rPr>
                <w:color w:val="000000" w:themeColor="text1"/>
                <w:sz w:val="18"/>
                <w:szCs w:val="18"/>
              </w:rPr>
              <w:t xml:space="preserve">Construct </w:t>
            </w:r>
          </w:p>
        </w:tc>
        <w:tc>
          <w:tcPr>
            <w:tcW w:w="3117" w:type="dxa"/>
          </w:tcPr>
          <w:p w14:paraId="0421752A" w14:textId="77777777" w:rsidR="00430323" w:rsidRPr="00B365C7" w:rsidRDefault="00430323" w:rsidP="00490BBA">
            <w:pPr>
              <w:rPr>
                <w:color w:val="000000" w:themeColor="text1"/>
                <w:sz w:val="18"/>
                <w:szCs w:val="18"/>
              </w:rPr>
            </w:pPr>
            <w:r w:rsidRPr="00B365C7">
              <w:rPr>
                <w:color w:val="000000" w:themeColor="text1"/>
                <w:sz w:val="18"/>
                <w:szCs w:val="18"/>
              </w:rPr>
              <w:t>Measure</w:t>
            </w:r>
          </w:p>
        </w:tc>
        <w:tc>
          <w:tcPr>
            <w:tcW w:w="3302" w:type="dxa"/>
          </w:tcPr>
          <w:p w14:paraId="12987745" w14:textId="77777777" w:rsidR="00430323" w:rsidRPr="00B365C7" w:rsidRDefault="00430323" w:rsidP="00490BBA">
            <w:pPr>
              <w:rPr>
                <w:color w:val="000000" w:themeColor="text1"/>
                <w:sz w:val="18"/>
                <w:szCs w:val="18"/>
              </w:rPr>
            </w:pPr>
            <w:r w:rsidRPr="00B365C7">
              <w:rPr>
                <w:color w:val="000000" w:themeColor="text1"/>
                <w:sz w:val="18"/>
                <w:szCs w:val="18"/>
              </w:rPr>
              <w:t>Citations</w:t>
            </w:r>
          </w:p>
        </w:tc>
      </w:tr>
      <w:tr w:rsidR="00430323" w14:paraId="7A37335B" w14:textId="77777777" w:rsidTr="00490BBA">
        <w:tc>
          <w:tcPr>
            <w:tcW w:w="9535" w:type="dxa"/>
            <w:gridSpan w:val="3"/>
          </w:tcPr>
          <w:p w14:paraId="520DE5D6" w14:textId="165F06A3" w:rsidR="00430323" w:rsidRPr="00B365C7" w:rsidRDefault="00430323" w:rsidP="00490BBA">
            <w:pPr>
              <w:rPr>
                <w:b/>
                <w:bCs/>
                <w:i/>
                <w:iCs/>
                <w:color w:val="000000" w:themeColor="text1"/>
                <w:sz w:val="18"/>
                <w:szCs w:val="18"/>
              </w:rPr>
            </w:pPr>
            <w:r w:rsidRPr="00B365C7">
              <w:rPr>
                <w:b/>
                <w:bCs/>
                <w:i/>
                <w:iCs/>
                <w:color w:val="000000" w:themeColor="text1"/>
                <w:sz w:val="18"/>
                <w:szCs w:val="18"/>
              </w:rPr>
              <w:t>Parent about Youth/Self/Family</w:t>
            </w:r>
          </w:p>
        </w:tc>
      </w:tr>
      <w:tr w:rsidR="00430323" w:rsidRPr="0033211D" w14:paraId="47F25784" w14:textId="77777777" w:rsidTr="00490BBA">
        <w:tc>
          <w:tcPr>
            <w:tcW w:w="3116" w:type="dxa"/>
          </w:tcPr>
          <w:p w14:paraId="32BA2A7D" w14:textId="6540546E" w:rsidR="00430323" w:rsidRPr="00B365C7" w:rsidRDefault="00430323" w:rsidP="00490BBA">
            <w:pPr>
              <w:rPr>
                <w:color w:val="000000" w:themeColor="text1"/>
                <w:sz w:val="18"/>
                <w:szCs w:val="18"/>
              </w:rPr>
            </w:pPr>
            <w:r w:rsidRPr="00B365C7">
              <w:rPr>
                <w:color w:val="000000" w:themeColor="text1"/>
                <w:sz w:val="18"/>
                <w:szCs w:val="18"/>
              </w:rPr>
              <w:t>Parent/Guardian Age, Birth Sex, Gender Identity, Race, and Ethnicity</w:t>
            </w:r>
          </w:p>
        </w:tc>
        <w:tc>
          <w:tcPr>
            <w:tcW w:w="3117" w:type="dxa"/>
          </w:tcPr>
          <w:p w14:paraId="2AFCBDA0" w14:textId="7BA7D2B3" w:rsidR="00430323" w:rsidRPr="00B365C7" w:rsidRDefault="005B2082" w:rsidP="00490BBA">
            <w:pPr>
              <w:rPr>
                <w:color w:val="000000" w:themeColor="text1"/>
                <w:sz w:val="18"/>
                <w:szCs w:val="18"/>
              </w:rPr>
            </w:pPr>
            <w:proofErr w:type="spellStart"/>
            <w:r w:rsidRPr="00B365C7">
              <w:rPr>
                <w:color w:val="000000" w:themeColor="text1"/>
                <w:sz w:val="18"/>
                <w:szCs w:val="18"/>
              </w:rPr>
              <w:t>PhenX</w:t>
            </w:r>
            <w:proofErr w:type="spellEnd"/>
          </w:p>
        </w:tc>
        <w:tc>
          <w:tcPr>
            <w:tcW w:w="3302" w:type="dxa"/>
          </w:tcPr>
          <w:p w14:paraId="3D037027" w14:textId="53D089CA" w:rsidR="00430323" w:rsidRPr="00B365C7" w:rsidRDefault="0033211D" w:rsidP="00490BBA">
            <w:pPr>
              <w:rPr>
                <w:color w:val="000000" w:themeColor="text1"/>
                <w:sz w:val="18"/>
                <w:szCs w:val="18"/>
                <w:lang w:val="nb-NO"/>
              </w:rPr>
            </w:pPr>
            <w:r w:rsidRPr="00B365C7">
              <w:rPr>
                <w:color w:val="000000" w:themeColor="text1"/>
                <w:sz w:val="18"/>
                <w:szCs w:val="18"/>
                <w:lang w:val="nb-NO"/>
              </w:rPr>
              <w:fldChar w:fldCharType="begin"/>
            </w:r>
            <w:r w:rsidRPr="00B365C7">
              <w:rPr>
                <w:color w:val="000000" w:themeColor="text1"/>
                <w:sz w:val="18"/>
                <w:szCs w:val="18"/>
                <w:lang w:val="nb-NO"/>
              </w:rPr>
              <w:instrText xml:space="preserve"> ADDIN ZOTERO_ITEM CSL_CITATION {"citationID":"auwMMEDW","properties":{"formattedCitation":"(Stover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B365C7">
              <w:rPr>
                <w:color w:val="000000" w:themeColor="text1"/>
                <w:sz w:val="18"/>
                <w:szCs w:val="18"/>
                <w:lang w:val="nb-NO"/>
              </w:rPr>
              <w:fldChar w:fldCharType="separate"/>
            </w:r>
            <w:r w:rsidRPr="00B365C7">
              <w:rPr>
                <w:noProof/>
                <w:color w:val="000000" w:themeColor="text1"/>
                <w:sz w:val="18"/>
                <w:szCs w:val="18"/>
                <w:lang w:val="nb-NO"/>
              </w:rPr>
              <w:t>(Stover et al., 2010)</w:t>
            </w:r>
            <w:r w:rsidRPr="00B365C7">
              <w:rPr>
                <w:color w:val="000000" w:themeColor="text1"/>
                <w:sz w:val="18"/>
                <w:szCs w:val="18"/>
                <w:lang w:val="nb-NO"/>
              </w:rPr>
              <w:fldChar w:fldCharType="end"/>
            </w:r>
          </w:p>
        </w:tc>
      </w:tr>
      <w:tr w:rsidR="00430323" w14:paraId="33EF58AC" w14:textId="77777777" w:rsidTr="00490BBA">
        <w:tc>
          <w:tcPr>
            <w:tcW w:w="3116" w:type="dxa"/>
          </w:tcPr>
          <w:p w14:paraId="37144A81" w14:textId="44F305EF" w:rsidR="00430323" w:rsidRPr="00B365C7" w:rsidRDefault="00430323" w:rsidP="00490BBA">
            <w:pPr>
              <w:rPr>
                <w:color w:val="000000" w:themeColor="text1"/>
                <w:sz w:val="18"/>
                <w:szCs w:val="18"/>
              </w:rPr>
            </w:pPr>
            <w:r w:rsidRPr="00B365C7">
              <w:rPr>
                <w:color w:val="000000" w:themeColor="text1"/>
                <w:sz w:val="18"/>
                <w:szCs w:val="18"/>
              </w:rPr>
              <w:t>Child Age, Birth Sex, Gender Identity, Race, and Ethnicity</w:t>
            </w:r>
          </w:p>
        </w:tc>
        <w:tc>
          <w:tcPr>
            <w:tcW w:w="3117" w:type="dxa"/>
          </w:tcPr>
          <w:p w14:paraId="207B11C1" w14:textId="60B65A8A" w:rsidR="00430323" w:rsidRPr="00B365C7" w:rsidRDefault="005B2082" w:rsidP="00490BBA">
            <w:pPr>
              <w:rPr>
                <w:color w:val="000000" w:themeColor="text1"/>
                <w:sz w:val="18"/>
                <w:szCs w:val="18"/>
              </w:rPr>
            </w:pPr>
            <w:proofErr w:type="spellStart"/>
            <w:r w:rsidRPr="00B365C7">
              <w:rPr>
                <w:color w:val="000000" w:themeColor="text1"/>
                <w:sz w:val="18"/>
                <w:szCs w:val="18"/>
              </w:rPr>
              <w:t>PhenX</w:t>
            </w:r>
            <w:proofErr w:type="spellEnd"/>
          </w:p>
        </w:tc>
        <w:tc>
          <w:tcPr>
            <w:tcW w:w="3302" w:type="dxa"/>
          </w:tcPr>
          <w:p w14:paraId="2C64D941" w14:textId="0F5F1B05" w:rsidR="005B2082" w:rsidRPr="00B365C7" w:rsidRDefault="0033211D" w:rsidP="005B2082">
            <w:pPr>
              <w:tabs>
                <w:tab w:val="left" w:pos="1018"/>
              </w:tabs>
              <w:rPr>
                <w:sz w:val="18"/>
                <w:szCs w:val="18"/>
              </w:rPr>
            </w:pPr>
            <w:r w:rsidRPr="00B365C7">
              <w:rPr>
                <w:color w:val="000000" w:themeColor="text1"/>
                <w:sz w:val="18"/>
                <w:szCs w:val="18"/>
                <w:lang w:val="nb-NO"/>
              </w:rPr>
              <w:fldChar w:fldCharType="begin"/>
            </w:r>
            <w:r w:rsidRPr="00B365C7">
              <w:rPr>
                <w:color w:val="000000" w:themeColor="text1"/>
                <w:sz w:val="18"/>
                <w:szCs w:val="18"/>
                <w:lang w:val="nb-NO"/>
              </w:rPr>
              <w:instrText xml:space="preserve"> ADDIN ZOTERO_ITEM CSL_CITATION {"citationID":"xnlTtFug","properties":{"formattedCitation":"(Stover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B365C7">
              <w:rPr>
                <w:color w:val="000000" w:themeColor="text1"/>
                <w:sz w:val="18"/>
                <w:szCs w:val="18"/>
                <w:lang w:val="nb-NO"/>
              </w:rPr>
              <w:fldChar w:fldCharType="separate"/>
            </w:r>
            <w:r w:rsidRPr="00B365C7">
              <w:rPr>
                <w:noProof/>
                <w:color w:val="000000" w:themeColor="text1"/>
                <w:sz w:val="18"/>
                <w:szCs w:val="18"/>
                <w:lang w:val="nb-NO"/>
              </w:rPr>
              <w:t>(Stover et al., 2010)</w:t>
            </w:r>
            <w:r w:rsidRPr="00B365C7">
              <w:rPr>
                <w:color w:val="000000" w:themeColor="text1"/>
                <w:sz w:val="18"/>
                <w:szCs w:val="18"/>
                <w:lang w:val="nb-NO"/>
              </w:rPr>
              <w:fldChar w:fldCharType="end"/>
            </w:r>
          </w:p>
        </w:tc>
      </w:tr>
      <w:tr w:rsidR="00430323" w14:paraId="2E107A60" w14:textId="77777777" w:rsidTr="00490BBA">
        <w:tc>
          <w:tcPr>
            <w:tcW w:w="3116" w:type="dxa"/>
          </w:tcPr>
          <w:p w14:paraId="002991F5" w14:textId="2152ECFB" w:rsidR="00430323" w:rsidRPr="00B365C7" w:rsidRDefault="00430323" w:rsidP="00490BBA">
            <w:pPr>
              <w:rPr>
                <w:color w:val="000000" w:themeColor="text1"/>
                <w:sz w:val="18"/>
                <w:szCs w:val="18"/>
              </w:rPr>
            </w:pPr>
            <w:r w:rsidRPr="00B365C7">
              <w:rPr>
                <w:color w:val="000000" w:themeColor="text1"/>
                <w:sz w:val="18"/>
                <w:szCs w:val="18"/>
              </w:rPr>
              <w:t>Country of Origin for Grandparents, Parent/Guardian and Child</w:t>
            </w:r>
          </w:p>
        </w:tc>
        <w:tc>
          <w:tcPr>
            <w:tcW w:w="3117" w:type="dxa"/>
          </w:tcPr>
          <w:p w14:paraId="55D124D1" w14:textId="3BACCAC1" w:rsidR="00430323" w:rsidRPr="00B365C7" w:rsidRDefault="005B2082" w:rsidP="00490BBA">
            <w:pPr>
              <w:rPr>
                <w:color w:val="000000" w:themeColor="text1"/>
                <w:sz w:val="18"/>
                <w:szCs w:val="18"/>
              </w:rPr>
            </w:pPr>
            <w:proofErr w:type="spellStart"/>
            <w:r w:rsidRPr="00B365C7">
              <w:rPr>
                <w:color w:val="000000" w:themeColor="text1"/>
                <w:sz w:val="18"/>
                <w:szCs w:val="18"/>
              </w:rPr>
              <w:t>PhenX</w:t>
            </w:r>
            <w:proofErr w:type="spellEnd"/>
          </w:p>
        </w:tc>
        <w:tc>
          <w:tcPr>
            <w:tcW w:w="3302" w:type="dxa"/>
          </w:tcPr>
          <w:p w14:paraId="537E4456" w14:textId="39DC8049" w:rsidR="00430323" w:rsidRPr="00B365C7" w:rsidRDefault="0033211D" w:rsidP="00490BBA">
            <w:pPr>
              <w:rPr>
                <w:color w:val="000000" w:themeColor="text1"/>
                <w:sz w:val="18"/>
                <w:szCs w:val="18"/>
              </w:rPr>
            </w:pPr>
            <w:r w:rsidRPr="00B365C7">
              <w:rPr>
                <w:color w:val="000000" w:themeColor="text1"/>
                <w:sz w:val="18"/>
                <w:szCs w:val="18"/>
                <w:lang w:val="nb-NO"/>
              </w:rPr>
              <w:fldChar w:fldCharType="begin"/>
            </w:r>
            <w:r w:rsidRPr="00B365C7">
              <w:rPr>
                <w:color w:val="000000" w:themeColor="text1"/>
                <w:sz w:val="18"/>
                <w:szCs w:val="18"/>
                <w:lang w:val="nb-NO"/>
              </w:rPr>
              <w:instrText xml:space="preserve"> ADDIN ZOTERO_ITEM CSL_CITATION {"citationID":"5m5LnY1W","properties":{"formattedCitation":"(Stover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B365C7">
              <w:rPr>
                <w:color w:val="000000" w:themeColor="text1"/>
                <w:sz w:val="18"/>
                <w:szCs w:val="18"/>
                <w:lang w:val="nb-NO"/>
              </w:rPr>
              <w:fldChar w:fldCharType="separate"/>
            </w:r>
            <w:r w:rsidRPr="00B365C7">
              <w:rPr>
                <w:noProof/>
                <w:color w:val="000000" w:themeColor="text1"/>
                <w:sz w:val="18"/>
                <w:szCs w:val="18"/>
                <w:lang w:val="nb-NO"/>
              </w:rPr>
              <w:t>(Stover et al., 2010)</w:t>
            </w:r>
            <w:r w:rsidRPr="00B365C7">
              <w:rPr>
                <w:color w:val="000000" w:themeColor="text1"/>
                <w:sz w:val="18"/>
                <w:szCs w:val="18"/>
                <w:lang w:val="nb-NO"/>
              </w:rPr>
              <w:fldChar w:fldCharType="end"/>
            </w:r>
          </w:p>
        </w:tc>
      </w:tr>
      <w:tr w:rsidR="00430323" w14:paraId="050B9DD0" w14:textId="77777777" w:rsidTr="00490BBA">
        <w:tc>
          <w:tcPr>
            <w:tcW w:w="3116" w:type="dxa"/>
          </w:tcPr>
          <w:p w14:paraId="3E1EB2CF" w14:textId="2EBAA811" w:rsidR="00430323" w:rsidRPr="00B365C7" w:rsidRDefault="00430323" w:rsidP="00490BBA">
            <w:pPr>
              <w:rPr>
                <w:color w:val="000000" w:themeColor="text1"/>
                <w:sz w:val="18"/>
                <w:szCs w:val="18"/>
              </w:rPr>
            </w:pPr>
            <w:r w:rsidRPr="00B365C7">
              <w:rPr>
                <w:color w:val="000000" w:themeColor="text1"/>
                <w:sz w:val="18"/>
                <w:szCs w:val="18"/>
              </w:rPr>
              <w:t>Parent/Guardian Education, Occupation and Current Income</w:t>
            </w:r>
          </w:p>
        </w:tc>
        <w:tc>
          <w:tcPr>
            <w:tcW w:w="3117" w:type="dxa"/>
          </w:tcPr>
          <w:p w14:paraId="3ABE9135" w14:textId="3F753BAC" w:rsidR="00430323" w:rsidRPr="00B365C7" w:rsidRDefault="005B2082" w:rsidP="00490BBA">
            <w:pPr>
              <w:rPr>
                <w:color w:val="000000" w:themeColor="text1"/>
                <w:sz w:val="18"/>
                <w:szCs w:val="18"/>
              </w:rPr>
            </w:pPr>
            <w:proofErr w:type="spellStart"/>
            <w:r w:rsidRPr="00B365C7">
              <w:rPr>
                <w:color w:val="000000" w:themeColor="text1"/>
                <w:sz w:val="18"/>
                <w:szCs w:val="18"/>
              </w:rPr>
              <w:t>PhenX</w:t>
            </w:r>
            <w:proofErr w:type="spellEnd"/>
          </w:p>
        </w:tc>
        <w:tc>
          <w:tcPr>
            <w:tcW w:w="3302" w:type="dxa"/>
          </w:tcPr>
          <w:p w14:paraId="3BD56835" w14:textId="4B902766" w:rsidR="00430323" w:rsidRPr="00B365C7" w:rsidRDefault="0033211D" w:rsidP="00490BBA">
            <w:pPr>
              <w:rPr>
                <w:color w:val="000000" w:themeColor="text1"/>
                <w:sz w:val="18"/>
                <w:szCs w:val="18"/>
              </w:rPr>
            </w:pPr>
            <w:r w:rsidRPr="00B365C7">
              <w:rPr>
                <w:color w:val="000000" w:themeColor="text1"/>
                <w:sz w:val="18"/>
                <w:szCs w:val="18"/>
                <w:lang w:val="nb-NO"/>
              </w:rPr>
              <w:fldChar w:fldCharType="begin"/>
            </w:r>
            <w:r w:rsidRPr="00B365C7">
              <w:rPr>
                <w:color w:val="000000" w:themeColor="text1"/>
                <w:sz w:val="18"/>
                <w:szCs w:val="18"/>
                <w:lang w:val="nb-NO"/>
              </w:rPr>
              <w:instrText xml:space="preserve"> ADDIN ZOTERO_ITEM CSL_CITATION {"citationID":"ADlF4RDA","properties":{"formattedCitation":"(Stover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B365C7">
              <w:rPr>
                <w:color w:val="000000" w:themeColor="text1"/>
                <w:sz w:val="18"/>
                <w:szCs w:val="18"/>
                <w:lang w:val="nb-NO"/>
              </w:rPr>
              <w:fldChar w:fldCharType="separate"/>
            </w:r>
            <w:r w:rsidRPr="00B365C7">
              <w:rPr>
                <w:noProof/>
                <w:color w:val="000000" w:themeColor="text1"/>
                <w:sz w:val="18"/>
                <w:szCs w:val="18"/>
                <w:lang w:val="nb-NO"/>
              </w:rPr>
              <w:t>(Stover et al., 2010)</w:t>
            </w:r>
            <w:r w:rsidRPr="00B365C7">
              <w:rPr>
                <w:color w:val="000000" w:themeColor="text1"/>
                <w:sz w:val="18"/>
                <w:szCs w:val="18"/>
                <w:lang w:val="nb-NO"/>
              </w:rPr>
              <w:fldChar w:fldCharType="end"/>
            </w:r>
          </w:p>
        </w:tc>
      </w:tr>
      <w:tr w:rsidR="00430323" w14:paraId="4EF11F8F" w14:textId="77777777" w:rsidTr="00490BBA">
        <w:tc>
          <w:tcPr>
            <w:tcW w:w="3116" w:type="dxa"/>
          </w:tcPr>
          <w:p w14:paraId="28093E61" w14:textId="7A2F5859" w:rsidR="00430323" w:rsidRPr="00B365C7" w:rsidRDefault="00430323" w:rsidP="00490BBA">
            <w:pPr>
              <w:rPr>
                <w:color w:val="000000" w:themeColor="text1"/>
                <w:sz w:val="18"/>
                <w:szCs w:val="18"/>
              </w:rPr>
            </w:pPr>
            <w:r w:rsidRPr="00B365C7">
              <w:rPr>
                <w:color w:val="000000" w:themeColor="text1"/>
                <w:sz w:val="18"/>
                <w:szCs w:val="18"/>
              </w:rPr>
              <w:t>Family Income</w:t>
            </w:r>
          </w:p>
        </w:tc>
        <w:tc>
          <w:tcPr>
            <w:tcW w:w="3117" w:type="dxa"/>
          </w:tcPr>
          <w:p w14:paraId="05AAE39D" w14:textId="49729C15" w:rsidR="00430323" w:rsidRPr="00B365C7" w:rsidRDefault="005B2082" w:rsidP="00490BBA">
            <w:pPr>
              <w:rPr>
                <w:color w:val="000000" w:themeColor="text1"/>
                <w:sz w:val="18"/>
                <w:szCs w:val="18"/>
              </w:rPr>
            </w:pPr>
            <w:proofErr w:type="spellStart"/>
            <w:r w:rsidRPr="00B365C7">
              <w:rPr>
                <w:color w:val="000000" w:themeColor="text1"/>
                <w:sz w:val="18"/>
                <w:szCs w:val="18"/>
              </w:rPr>
              <w:t>PhenX</w:t>
            </w:r>
            <w:proofErr w:type="spellEnd"/>
          </w:p>
        </w:tc>
        <w:tc>
          <w:tcPr>
            <w:tcW w:w="3302" w:type="dxa"/>
          </w:tcPr>
          <w:p w14:paraId="07EA9F62" w14:textId="50B39CC2" w:rsidR="00430323" w:rsidRPr="00B365C7" w:rsidRDefault="0033211D" w:rsidP="00490BBA">
            <w:pPr>
              <w:rPr>
                <w:color w:val="000000" w:themeColor="text1"/>
                <w:sz w:val="18"/>
                <w:szCs w:val="18"/>
              </w:rPr>
            </w:pPr>
            <w:r w:rsidRPr="00B365C7">
              <w:rPr>
                <w:color w:val="000000" w:themeColor="text1"/>
                <w:sz w:val="18"/>
                <w:szCs w:val="18"/>
                <w:lang w:val="nb-NO"/>
              </w:rPr>
              <w:fldChar w:fldCharType="begin"/>
            </w:r>
            <w:r w:rsidRPr="00B365C7">
              <w:rPr>
                <w:color w:val="000000" w:themeColor="text1"/>
                <w:sz w:val="18"/>
                <w:szCs w:val="18"/>
                <w:lang w:val="nb-NO"/>
              </w:rPr>
              <w:instrText xml:space="preserve"> ADDIN ZOTERO_ITEM CSL_CITATION {"citationID":"ZEUc1TTY","properties":{"formattedCitation":"(Stover et al., 2010)","plainCitation":"(Stover et al., 2010)","noteIndex":0},"citationItems":[{"id":2953,"uris":["http://zotero.org/users/13126831/items/744N3C2J"],"itemData":{"id":2953,"type":"article-journal","container-title":"Current opinion in lipidology","ISSN":"0957-9672","issue":"2","journalAbbreviation":"Current opinion in lipidology","note":"publisher: LWW","page":"136-140","title":"PhenX: a toolkit for interdisciplinary genetics research","volume":"21","author":[{"family":"Stover","given":"Patrick J"},{"family":"Harlan","given":"William R"},{"family":"Hammond","given":"Jane A"},{"family":"Hendershot","given":"Tabitha"},{"family":"Hamilton","given":"Carol M"}],"issued":{"date-parts":[["2010"]]}}}],"schema":"https://github.com/citation-style-language/schema/raw/master/csl-citation.json"} </w:instrText>
            </w:r>
            <w:r w:rsidRPr="00B365C7">
              <w:rPr>
                <w:color w:val="000000" w:themeColor="text1"/>
                <w:sz w:val="18"/>
                <w:szCs w:val="18"/>
                <w:lang w:val="nb-NO"/>
              </w:rPr>
              <w:fldChar w:fldCharType="separate"/>
            </w:r>
            <w:r w:rsidRPr="00B365C7">
              <w:rPr>
                <w:noProof/>
                <w:color w:val="000000" w:themeColor="text1"/>
                <w:sz w:val="18"/>
                <w:szCs w:val="18"/>
                <w:lang w:val="nb-NO"/>
              </w:rPr>
              <w:t>(Stover et al., 2010)</w:t>
            </w:r>
            <w:r w:rsidRPr="00B365C7">
              <w:rPr>
                <w:color w:val="000000" w:themeColor="text1"/>
                <w:sz w:val="18"/>
                <w:szCs w:val="18"/>
                <w:lang w:val="nb-NO"/>
              </w:rPr>
              <w:fldChar w:fldCharType="end"/>
            </w:r>
          </w:p>
        </w:tc>
      </w:tr>
      <w:tr w:rsidR="00430323" w:rsidRPr="008B3EB6" w14:paraId="3A1DA595" w14:textId="77777777" w:rsidTr="00490BBA">
        <w:tc>
          <w:tcPr>
            <w:tcW w:w="3116" w:type="dxa"/>
          </w:tcPr>
          <w:p w14:paraId="7A24B4BC" w14:textId="2DD19512" w:rsidR="00430323" w:rsidRPr="00B365C7" w:rsidRDefault="00430323" w:rsidP="00490BBA">
            <w:pPr>
              <w:rPr>
                <w:color w:val="000000" w:themeColor="text1"/>
                <w:sz w:val="18"/>
                <w:szCs w:val="18"/>
              </w:rPr>
            </w:pPr>
            <w:r w:rsidRPr="00B365C7">
              <w:rPr>
                <w:color w:val="000000" w:themeColor="text1"/>
                <w:sz w:val="18"/>
                <w:szCs w:val="18"/>
              </w:rPr>
              <w:t>School performance, repeating a grade, detention/suspensions and a drop in grades, special services</w:t>
            </w:r>
          </w:p>
        </w:tc>
        <w:tc>
          <w:tcPr>
            <w:tcW w:w="3117" w:type="dxa"/>
          </w:tcPr>
          <w:p w14:paraId="6D367E97" w14:textId="58BEF948" w:rsidR="00430323" w:rsidRPr="00B365C7" w:rsidRDefault="005B2082" w:rsidP="00490BBA">
            <w:pPr>
              <w:rPr>
                <w:color w:val="000000" w:themeColor="text1"/>
                <w:sz w:val="18"/>
                <w:szCs w:val="18"/>
              </w:rPr>
            </w:pPr>
            <w:r w:rsidRPr="00B365C7">
              <w:rPr>
                <w:color w:val="000000" w:themeColor="text1"/>
                <w:sz w:val="18"/>
                <w:szCs w:val="18"/>
              </w:rPr>
              <w:t>Introduction to Kiddie Schedule for Affective Disorder and Schizophrenia</w:t>
            </w:r>
          </w:p>
        </w:tc>
        <w:tc>
          <w:tcPr>
            <w:tcW w:w="3302" w:type="dxa"/>
          </w:tcPr>
          <w:p w14:paraId="5EA34F14" w14:textId="4D5A5593" w:rsidR="00430323" w:rsidRPr="00B365C7" w:rsidRDefault="0033211D" w:rsidP="00490BBA">
            <w:pPr>
              <w:rPr>
                <w:color w:val="000000" w:themeColor="text1"/>
                <w:sz w:val="18"/>
                <w:szCs w:val="18"/>
                <w:lang w:val="nb-NO"/>
              </w:rPr>
            </w:pPr>
            <w:r w:rsidRPr="00B365C7">
              <w:rPr>
                <w:color w:val="000000" w:themeColor="text1"/>
                <w:sz w:val="18"/>
                <w:szCs w:val="18"/>
              </w:rPr>
              <w:fldChar w:fldCharType="begin"/>
            </w:r>
            <w:r w:rsidRPr="00B365C7">
              <w:rPr>
                <w:color w:val="000000" w:themeColor="text1"/>
                <w:sz w:val="18"/>
                <w:szCs w:val="18"/>
                <w:lang w:val="nb-NO"/>
              </w:rPr>
              <w:instrText xml:space="preserve"> ADDIN ZOTERO_ITEM CSL_CITATION {"citationID":"dRrAY2Fv","properties":{"formattedCitation":"(K.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B365C7">
              <w:rPr>
                <w:color w:val="000000" w:themeColor="text1"/>
                <w:sz w:val="18"/>
                <w:szCs w:val="18"/>
              </w:rPr>
              <w:fldChar w:fldCharType="separate"/>
            </w:r>
            <w:r w:rsidRPr="00B365C7">
              <w:rPr>
                <w:noProof/>
                <w:color w:val="000000" w:themeColor="text1"/>
                <w:sz w:val="18"/>
                <w:szCs w:val="18"/>
                <w:lang w:val="nb-NO"/>
              </w:rPr>
              <w:t>(K. A. Kobak et al., 2013)</w:t>
            </w:r>
            <w:r w:rsidRPr="00B365C7">
              <w:rPr>
                <w:color w:val="000000" w:themeColor="text1"/>
                <w:sz w:val="18"/>
                <w:szCs w:val="18"/>
              </w:rPr>
              <w:fldChar w:fldCharType="end"/>
            </w:r>
          </w:p>
        </w:tc>
      </w:tr>
      <w:tr w:rsidR="00430323" w:rsidRPr="008B3EB6" w14:paraId="4BF99900" w14:textId="77777777" w:rsidTr="00490BBA">
        <w:tc>
          <w:tcPr>
            <w:tcW w:w="3116" w:type="dxa"/>
          </w:tcPr>
          <w:p w14:paraId="4DEAAA7A" w14:textId="070CE3AD" w:rsidR="00430323" w:rsidRPr="00B365C7" w:rsidRDefault="00430323" w:rsidP="00490BBA">
            <w:pPr>
              <w:rPr>
                <w:color w:val="000000" w:themeColor="text1"/>
                <w:sz w:val="18"/>
                <w:szCs w:val="18"/>
              </w:rPr>
            </w:pPr>
            <w:r w:rsidRPr="00B365C7">
              <w:rPr>
                <w:color w:val="000000" w:themeColor="text1"/>
                <w:sz w:val="18"/>
                <w:szCs w:val="18"/>
              </w:rPr>
              <w:t>Bullying and youth friendships</w:t>
            </w:r>
          </w:p>
        </w:tc>
        <w:tc>
          <w:tcPr>
            <w:tcW w:w="3117" w:type="dxa"/>
          </w:tcPr>
          <w:p w14:paraId="3E9ADCAB" w14:textId="7D22BCDE" w:rsidR="00430323" w:rsidRPr="00B365C7" w:rsidRDefault="005B2082" w:rsidP="00490BBA">
            <w:pPr>
              <w:rPr>
                <w:color w:val="000000" w:themeColor="text1"/>
                <w:sz w:val="18"/>
                <w:szCs w:val="18"/>
              </w:rPr>
            </w:pPr>
            <w:r w:rsidRPr="00B365C7">
              <w:rPr>
                <w:color w:val="000000" w:themeColor="text1"/>
                <w:sz w:val="18"/>
                <w:szCs w:val="18"/>
              </w:rPr>
              <w:t>Introduction to Kiddie Schedule for Affective Disorder and Schizophrenia</w:t>
            </w:r>
          </w:p>
        </w:tc>
        <w:tc>
          <w:tcPr>
            <w:tcW w:w="3302" w:type="dxa"/>
          </w:tcPr>
          <w:p w14:paraId="5610577F" w14:textId="0EE1016C" w:rsidR="00430323" w:rsidRPr="00B365C7" w:rsidRDefault="0033211D" w:rsidP="00490BBA">
            <w:pPr>
              <w:rPr>
                <w:color w:val="000000" w:themeColor="text1"/>
                <w:sz w:val="18"/>
                <w:szCs w:val="18"/>
                <w:lang w:val="nb-NO"/>
              </w:rPr>
            </w:pPr>
            <w:r w:rsidRPr="00B365C7">
              <w:rPr>
                <w:color w:val="000000" w:themeColor="text1"/>
                <w:sz w:val="18"/>
                <w:szCs w:val="18"/>
              </w:rPr>
              <w:fldChar w:fldCharType="begin"/>
            </w:r>
            <w:r w:rsidR="00777A42" w:rsidRPr="00B365C7">
              <w:rPr>
                <w:color w:val="000000" w:themeColor="text1"/>
                <w:sz w:val="18"/>
                <w:szCs w:val="18"/>
                <w:lang w:val="nb-NO"/>
              </w:rPr>
              <w:instrText xml:space="preserve"> ADDIN ZOTERO_ITEM CSL_CITATION {"citationID":"Puy4AE48","properties":{"formattedCitation":"(K.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B365C7">
              <w:rPr>
                <w:color w:val="000000" w:themeColor="text1"/>
                <w:sz w:val="18"/>
                <w:szCs w:val="18"/>
              </w:rPr>
              <w:fldChar w:fldCharType="separate"/>
            </w:r>
            <w:r w:rsidRPr="00B365C7">
              <w:rPr>
                <w:noProof/>
                <w:color w:val="000000" w:themeColor="text1"/>
                <w:sz w:val="18"/>
                <w:szCs w:val="18"/>
                <w:lang w:val="nb-NO"/>
              </w:rPr>
              <w:t>(K. A. Kobak et al., 2013)</w:t>
            </w:r>
            <w:r w:rsidRPr="00B365C7">
              <w:rPr>
                <w:color w:val="000000" w:themeColor="text1"/>
                <w:sz w:val="18"/>
                <w:szCs w:val="18"/>
              </w:rPr>
              <w:fldChar w:fldCharType="end"/>
            </w:r>
          </w:p>
        </w:tc>
      </w:tr>
      <w:tr w:rsidR="00430323" w14:paraId="560021CE" w14:textId="77777777" w:rsidTr="00490BBA">
        <w:tc>
          <w:tcPr>
            <w:tcW w:w="9535" w:type="dxa"/>
            <w:gridSpan w:val="3"/>
          </w:tcPr>
          <w:p w14:paraId="49337444" w14:textId="2AA276F7" w:rsidR="00430323" w:rsidRPr="00B365C7" w:rsidRDefault="005B2082" w:rsidP="00490BBA">
            <w:pPr>
              <w:rPr>
                <w:b/>
                <w:bCs/>
                <w:i/>
                <w:iCs/>
                <w:color w:val="000000" w:themeColor="text1"/>
                <w:sz w:val="18"/>
                <w:szCs w:val="18"/>
              </w:rPr>
            </w:pPr>
            <w:r w:rsidRPr="00B365C7">
              <w:rPr>
                <w:b/>
                <w:bCs/>
                <w:i/>
                <w:iCs/>
                <w:color w:val="000000" w:themeColor="text1"/>
                <w:sz w:val="18"/>
                <w:szCs w:val="18"/>
              </w:rPr>
              <w:t>Youth about Self</w:t>
            </w:r>
          </w:p>
        </w:tc>
      </w:tr>
      <w:tr w:rsidR="00430323" w:rsidRPr="008B3EB6" w14:paraId="21453674" w14:textId="77777777" w:rsidTr="00490BBA">
        <w:tc>
          <w:tcPr>
            <w:tcW w:w="3116" w:type="dxa"/>
          </w:tcPr>
          <w:p w14:paraId="5E1DB227" w14:textId="2C843E43" w:rsidR="00430323" w:rsidRPr="00B365C7" w:rsidRDefault="005B2082" w:rsidP="00490BBA">
            <w:pPr>
              <w:rPr>
                <w:color w:val="000000" w:themeColor="text1"/>
                <w:sz w:val="18"/>
                <w:szCs w:val="18"/>
              </w:rPr>
            </w:pPr>
            <w:r w:rsidRPr="00B365C7">
              <w:rPr>
                <w:color w:val="000000" w:themeColor="text1"/>
                <w:sz w:val="18"/>
                <w:szCs w:val="18"/>
              </w:rPr>
              <w:t>Repeating a grade, detention/suspensions and a drop in grades</w:t>
            </w:r>
          </w:p>
        </w:tc>
        <w:tc>
          <w:tcPr>
            <w:tcW w:w="3117" w:type="dxa"/>
          </w:tcPr>
          <w:p w14:paraId="34486599" w14:textId="5E4DD20D" w:rsidR="00430323" w:rsidRPr="00B365C7" w:rsidRDefault="005B2082" w:rsidP="00490BBA">
            <w:pPr>
              <w:rPr>
                <w:color w:val="000000" w:themeColor="text1"/>
                <w:sz w:val="18"/>
                <w:szCs w:val="18"/>
              </w:rPr>
            </w:pPr>
            <w:r w:rsidRPr="00B365C7">
              <w:rPr>
                <w:color w:val="000000" w:themeColor="text1"/>
                <w:sz w:val="18"/>
                <w:szCs w:val="18"/>
              </w:rPr>
              <w:t>Introduction to Kiddie Schedule for Affective Disorder and Schizophrenia</w:t>
            </w:r>
          </w:p>
        </w:tc>
        <w:tc>
          <w:tcPr>
            <w:tcW w:w="3302" w:type="dxa"/>
          </w:tcPr>
          <w:p w14:paraId="586E79D8" w14:textId="532F2A9A" w:rsidR="00430323" w:rsidRPr="00B365C7" w:rsidRDefault="0033211D" w:rsidP="00490BBA">
            <w:pPr>
              <w:rPr>
                <w:color w:val="000000" w:themeColor="text1"/>
                <w:sz w:val="18"/>
                <w:szCs w:val="18"/>
                <w:lang w:val="nb-NO"/>
              </w:rPr>
            </w:pPr>
            <w:r w:rsidRPr="00B365C7">
              <w:rPr>
                <w:color w:val="000000" w:themeColor="text1"/>
                <w:sz w:val="18"/>
                <w:szCs w:val="18"/>
              </w:rPr>
              <w:fldChar w:fldCharType="begin"/>
            </w:r>
            <w:r w:rsidR="00777A42" w:rsidRPr="00B365C7">
              <w:rPr>
                <w:color w:val="000000" w:themeColor="text1"/>
                <w:sz w:val="18"/>
                <w:szCs w:val="18"/>
                <w:lang w:val="nb-NO"/>
              </w:rPr>
              <w:instrText xml:space="preserve"> ADDIN ZOTERO_ITEM CSL_CITATION {"citationID":"nQ4nkBzO","properties":{"formattedCitation":"(K. A. Kobak et al., 2013)","plainCitation":"(K. A. 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Pr="00B365C7">
              <w:rPr>
                <w:color w:val="000000" w:themeColor="text1"/>
                <w:sz w:val="18"/>
                <w:szCs w:val="18"/>
              </w:rPr>
              <w:fldChar w:fldCharType="separate"/>
            </w:r>
            <w:r w:rsidRPr="00B365C7">
              <w:rPr>
                <w:noProof/>
                <w:color w:val="000000" w:themeColor="text1"/>
                <w:sz w:val="18"/>
                <w:szCs w:val="18"/>
                <w:lang w:val="nb-NO"/>
              </w:rPr>
              <w:t>(K. A. Kobak et al., 2013)</w:t>
            </w:r>
            <w:r w:rsidRPr="00B365C7">
              <w:rPr>
                <w:color w:val="000000" w:themeColor="text1"/>
                <w:sz w:val="18"/>
                <w:szCs w:val="18"/>
              </w:rPr>
              <w:fldChar w:fldCharType="end"/>
            </w:r>
          </w:p>
        </w:tc>
      </w:tr>
      <w:tr w:rsidR="005B2082" w14:paraId="0AB92EF4" w14:textId="77777777" w:rsidTr="00490BBA">
        <w:tc>
          <w:tcPr>
            <w:tcW w:w="3116" w:type="dxa"/>
          </w:tcPr>
          <w:p w14:paraId="78CF2972" w14:textId="5E56762D" w:rsidR="005B2082" w:rsidRPr="00B365C7" w:rsidRDefault="005B2082" w:rsidP="00490BBA">
            <w:pPr>
              <w:rPr>
                <w:color w:val="000000" w:themeColor="text1"/>
                <w:sz w:val="18"/>
                <w:szCs w:val="18"/>
              </w:rPr>
            </w:pPr>
            <w:r w:rsidRPr="00B365C7">
              <w:rPr>
                <w:color w:val="000000" w:themeColor="text1"/>
                <w:sz w:val="18"/>
                <w:szCs w:val="18"/>
              </w:rPr>
              <w:t>Friendships</w:t>
            </w:r>
          </w:p>
        </w:tc>
        <w:tc>
          <w:tcPr>
            <w:tcW w:w="3117" w:type="dxa"/>
          </w:tcPr>
          <w:p w14:paraId="3E75EE2E" w14:textId="5D09C38F" w:rsidR="005B2082" w:rsidRPr="00B365C7" w:rsidRDefault="005B2082" w:rsidP="00490BBA">
            <w:pPr>
              <w:rPr>
                <w:color w:val="000000" w:themeColor="text1"/>
                <w:sz w:val="18"/>
                <w:szCs w:val="18"/>
              </w:rPr>
            </w:pPr>
            <w:r w:rsidRPr="00B365C7">
              <w:rPr>
                <w:color w:val="000000" w:themeColor="text1"/>
                <w:sz w:val="18"/>
                <w:szCs w:val="18"/>
              </w:rPr>
              <w:t># of same and different gender friends</w:t>
            </w:r>
          </w:p>
        </w:tc>
        <w:tc>
          <w:tcPr>
            <w:tcW w:w="3302" w:type="dxa"/>
          </w:tcPr>
          <w:p w14:paraId="4D3F269D" w14:textId="606F1739" w:rsidR="005B2082" w:rsidRPr="00B365C7" w:rsidRDefault="005B2082" w:rsidP="00490BBA">
            <w:pPr>
              <w:rPr>
                <w:color w:val="000000" w:themeColor="text1"/>
                <w:sz w:val="18"/>
                <w:szCs w:val="18"/>
                <w:lang w:val="nb-NO"/>
              </w:rPr>
            </w:pPr>
            <w:r w:rsidRPr="00B365C7">
              <w:rPr>
                <w:color w:val="000000" w:themeColor="text1"/>
                <w:sz w:val="18"/>
                <w:szCs w:val="18"/>
                <w:lang w:val="nb-NO"/>
              </w:rPr>
              <w:t>NA</w:t>
            </w:r>
          </w:p>
        </w:tc>
      </w:tr>
    </w:tbl>
    <w:p w14:paraId="03C14C22" w14:textId="77777777" w:rsidR="00430323" w:rsidRPr="000429F0" w:rsidRDefault="00430323" w:rsidP="000429F0">
      <w:pPr>
        <w:ind w:firstLine="720"/>
        <w:rPr>
          <w:color w:val="000000" w:themeColor="text1"/>
        </w:rPr>
      </w:pPr>
    </w:p>
    <w:p w14:paraId="283EB59F" w14:textId="77777777" w:rsidR="00B365C7" w:rsidRDefault="00B365C7" w:rsidP="00FC5FB5">
      <w:pPr>
        <w:rPr>
          <w:color w:val="215E99" w:themeColor="text2" w:themeTint="BF"/>
        </w:rPr>
      </w:pPr>
    </w:p>
    <w:p w14:paraId="57FF2741" w14:textId="1B4D4782" w:rsidR="00B365C7" w:rsidRDefault="008B3EB6" w:rsidP="008B3EB6">
      <w:pPr>
        <w:rPr>
          <w:b/>
          <w:bCs/>
          <w:color w:val="000000" w:themeColor="text1"/>
        </w:rPr>
      </w:pPr>
      <w:r w:rsidRPr="008B3EB6">
        <w:rPr>
          <w:b/>
          <w:bCs/>
          <w:color w:val="000000" w:themeColor="text1"/>
        </w:rPr>
        <w:t>Sample</w:t>
      </w:r>
    </w:p>
    <w:p w14:paraId="76A98419" w14:textId="23E73124" w:rsidR="008B3EB6" w:rsidRDefault="008717B8" w:rsidP="008B3EB6">
      <w:pPr>
        <w:rPr>
          <w:color w:val="000000" w:themeColor="text1"/>
        </w:rPr>
      </w:pPr>
      <w:r w:rsidRPr="008717B8">
        <w:rPr>
          <w:color w:val="000000" w:themeColor="text1"/>
        </w:rPr>
        <w:t xml:space="preserve">The cohort had a mean age of 9.48 years with a standard deviation of 0.507 years. The gender distribution included 47.8% females, 52.1% males, and the racial composition was </w:t>
      </w:r>
      <w:r w:rsidRPr="008717B8">
        <w:rPr>
          <w:color w:val="000000" w:themeColor="text1"/>
        </w:rPr>
        <w:lastRenderedPageBreak/>
        <w:t>predominantly White (52.0%), followed by Hispanic (20.3%), Black (15.0%), and Asian (2.12%).</w:t>
      </w:r>
      <w:r w:rsidR="003D08ED">
        <w:rPr>
          <w:noProof/>
          <w:color w:val="000000" w:themeColor="text1"/>
          <w14:ligatures w14:val="standardContextual"/>
        </w:rPr>
        <w:drawing>
          <wp:inline distT="0" distB="0" distL="0" distR="0" wp14:anchorId="775501CC" wp14:editId="7AB17BDF">
            <wp:extent cx="4526844" cy="3295987"/>
            <wp:effectExtent l="0" t="0" r="0" b="0"/>
            <wp:docPr id="243050076" name="Picture 4" descr="A graph of different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50076" name="Picture 4" descr="A graph of different age group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5025" cy="3309225"/>
                    </a:xfrm>
                    <a:prstGeom prst="rect">
                      <a:avLst/>
                    </a:prstGeom>
                  </pic:spPr>
                </pic:pic>
              </a:graphicData>
            </a:graphic>
          </wp:inline>
        </w:drawing>
      </w:r>
    </w:p>
    <w:p w14:paraId="60A3825B" w14:textId="499AB0CA" w:rsidR="00B365C7" w:rsidRDefault="008717B8" w:rsidP="00FC5FB5">
      <w:pPr>
        <w:rPr>
          <w:color w:val="215E99" w:themeColor="text2" w:themeTint="BF"/>
        </w:rPr>
      </w:pPr>
      <w:r w:rsidRPr="008717B8">
        <w:rPr>
          <w:color w:val="000000" w:themeColor="text1"/>
        </w:rPr>
        <w:t>The sample had a mean age of 9.52 years with a standard deviation of 0.508 years. The gender distribution included 53.2% females and 46.8% males, with racial composition predominantly</w:t>
      </w:r>
      <w:r>
        <w:rPr>
          <w:color w:val="000000" w:themeColor="text1"/>
        </w:rPr>
        <w:t xml:space="preserve"> </w:t>
      </w:r>
      <w:r w:rsidRPr="008717B8">
        <w:rPr>
          <w:color w:val="000000" w:themeColor="text1"/>
        </w:rPr>
        <w:t>White (64.8%), followed by Hispanic (16.9%), Black (7.69%), and Asian (0.448%).</w:t>
      </w:r>
      <w:r>
        <w:rPr>
          <w:noProof/>
          <w:color w:val="215E99" w:themeColor="text2" w:themeTint="BF"/>
          <w14:ligatures w14:val="standardContextual"/>
        </w:rPr>
        <w:drawing>
          <wp:inline distT="0" distB="0" distL="0" distR="0" wp14:anchorId="133FCF5E" wp14:editId="6DCD5E8F">
            <wp:extent cx="4699856" cy="3206045"/>
            <wp:effectExtent l="0" t="0" r="0" b="0"/>
            <wp:docPr id="451720818" name="Picture 3"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20818" name="Picture 3" descr="A group of graphs with numbe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2144" cy="3214427"/>
                    </a:xfrm>
                    <a:prstGeom prst="rect">
                      <a:avLst/>
                    </a:prstGeom>
                  </pic:spPr>
                </pic:pic>
              </a:graphicData>
            </a:graphic>
          </wp:inline>
        </w:drawing>
      </w:r>
    </w:p>
    <w:p w14:paraId="7CB5EBFE" w14:textId="1790D3DB" w:rsidR="00B365C7" w:rsidRDefault="00B365C7" w:rsidP="00FC5FB5">
      <w:pPr>
        <w:rPr>
          <w:color w:val="215E99" w:themeColor="text2" w:themeTint="BF"/>
        </w:rPr>
      </w:pPr>
    </w:p>
    <w:p w14:paraId="1E29FB09" w14:textId="77777777" w:rsidR="00B365C7" w:rsidRDefault="00B365C7" w:rsidP="00FC5FB5">
      <w:pPr>
        <w:rPr>
          <w:color w:val="215E99" w:themeColor="text2" w:themeTint="BF"/>
        </w:rPr>
      </w:pPr>
    </w:p>
    <w:p w14:paraId="016874C6" w14:textId="77777777" w:rsidR="0045013C" w:rsidRPr="0045013C" w:rsidRDefault="0045013C" w:rsidP="0045013C">
      <w:pPr>
        <w:rPr>
          <w:b/>
          <w:bCs/>
          <w:color w:val="000000" w:themeColor="text1"/>
        </w:rPr>
      </w:pPr>
      <w:r w:rsidRPr="0045013C">
        <w:rPr>
          <w:b/>
          <w:bCs/>
          <w:color w:val="000000" w:themeColor="text1"/>
        </w:rPr>
        <w:t>Methods</w:t>
      </w:r>
    </w:p>
    <w:p w14:paraId="1F548E46" w14:textId="77777777" w:rsidR="0045013C" w:rsidRPr="0045013C" w:rsidRDefault="0045013C" w:rsidP="0045013C">
      <w:pPr>
        <w:rPr>
          <w:color w:val="FF0000"/>
        </w:rPr>
      </w:pPr>
      <w:r w:rsidRPr="0045013C">
        <w:rPr>
          <w:color w:val="FF0000"/>
        </w:rPr>
        <w:t xml:space="preserve">Image processing and analysis methods corresponding to ABCD Release 2.0.1 are described Hagler et al., 2019, </w:t>
      </w:r>
      <w:proofErr w:type="spellStart"/>
      <w:r w:rsidRPr="0045013C">
        <w:rPr>
          <w:color w:val="FF0000"/>
        </w:rPr>
        <w:t>NeuroImage</w:t>
      </w:r>
      <w:proofErr w:type="spellEnd"/>
      <w:r w:rsidRPr="0045013C">
        <w:rPr>
          <w:color w:val="FF0000"/>
        </w:rPr>
        <w:t xml:space="preserve">. Image processing and analysis methods for the Adolescent </w:t>
      </w:r>
      <w:r w:rsidRPr="0045013C">
        <w:rPr>
          <w:color w:val="FF0000"/>
        </w:rPr>
        <w:lastRenderedPageBreak/>
        <w:t>Brain Cognitive Development Study (</w:t>
      </w:r>
      <w:proofErr w:type="spellStart"/>
      <w:r w:rsidRPr="0045013C">
        <w:rPr>
          <w:color w:val="FF0000"/>
        </w:rPr>
        <w:t>doi</w:t>
      </w:r>
      <w:proofErr w:type="spellEnd"/>
      <w:r w:rsidRPr="0045013C">
        <w:rPr>
          <w:color w:val="FF0000"/>
        </w:rPr>
        <w:t>: </w:t>
      </w:r>
      <w:hyperlink r:id="rId11" w:history="1">
        <w:r w:rsidRPr="0045013C">
          <w:rPr>
            <w:rStyle w:val="Hyperlink"/>
            <w:color w:val="FF0000"/>
          </w:rPr>
          <w:t>10.1016/j.neuroimage.2019.116091</w:t>
        </w:r>
      </w:hyperlink>
      <w:r w:rsidRPr="0045013C">
        <w:rPr>
          <w:color w:val="FF0000"/>
        </w:rPr>
        <w:t>). Changes to image processing and analysis methods in Release 3.0 and Release 4.0 are documented below. No significant changes were made to the processing pipeline for Release 5.0.</w:t>
      </w:r>
    </w:p>
    <w:p w14:paraId="444BC869" w14:textId="65209623" w:rsidR="0045013C" w:rsidRDefault="0045013C" w:rsidP="0045013C">
      <w:pPr>
        <w:rPr>
          <w:color w:val="000000" w:themeColor="text1"/>
        </w:rPr>
      </w:pPr>
      <w:r w:rsidRPr="0045013C">
        <w:rPr>
          <w:color w:val="000000" w:themeColor="text1"/>
        </w:rPr>
        <w:t>https://wiki.abcdstudy.org/release-notes/imaging/structural-mri.html</w:t>
      </w:r>
    </w:p>
    <w:p w14:paraId="7E4DA489" w14:textId="77777777" w:rsidR="0045013C" w:rsidRDefault="0045013C" w:rsidP="0045013C">
      <w:pPr>
        <w:rPr>
          <w:color w:val="000000" w:themeColor="text1"/>
        </w:rPr>
      </w:pPr>
    </w:p>
    <w:p w14:paraId="48D8B830" w14:textId="77777777" w:rsidR="0045013C" w:rsidRDefault="0045013C" w:rsidP="0045013C">
      <w:pPr>
        <w:rPr>
          <w:color w:val="000000" w:themeColor="text1"/>
        </w:rPr>
      </w:pPr>
    </w:p>
    <w:p w14:paraId="64D6CE67" w14:textId="77777777" w:rsidR="0045013C" w:rsidRDefault="0045013C" w:rsidP="0045013C">
      <w:pPr>
        <w:rPr>
          <w:color w:val="000000" w:themeColor="text1"/>
        </w:rPr>
      </w:pPr>
    </w:p>
    <w:p w14:paraId="1F6370F3" w14:textId="77777777" w:rsidR="0045013C" w:rsidRPr="0045013C" w:rsidRDefault="0045013C" w:rsidP="0045013C">
      <w:pPr>
        <w:rPr>
          <w:color w:val="000000" w:themeColor="text1"/>
        </w:rPr>
      </w:pPr>
    </w:p>
    <w:p w14:paraId="263E3E0C" w14:textId="77777777" w:rsidR="00315D9E" w:rsidRDefault="003D4A33">
      <w:pPr>
        <w:rPr>
          <w:color w:val="000000" w:themeColor="text1"/>
        </w:rPr>
      </w:pPr>
      <w:r w:rsidRPr="00A66EB2">
        <w:rPr>
          <w:color w:val="FF0000"/>
        </w:rPr>
        <w:t>From caregiver and youth perspective, information is obtained about both current and lifetime mental health diagnoses of the youth using a validated and computerized Kiddie Schedule for Affective Disorders and Schizophrenia (KSADS) for DSM-5 (KSADS-COMP), developed by Dr. Joan Kaufman and Dr. Ken Kobak with NIH Small Business Innovation Research support (Kobak et al., 2013; Kobak and Kaufman, 2015). This is a self-administered, computerized version that does not involve a clinician for either the caregiver or the youth, though the youth are supported in completing the KSADS-COMP by trained research assistants. In Section 3.2 below, we provide more information about changes in this measure over assessment waves and known issues or considerations in the use of data from the KSADS-COMP</w:t>
      </w:r>
      <w:r w:rsidR="00A66EB2" w:rsidRPr="00A66EB2">
        <w:rPr>
          <w:color w:val="000000" w:themeColor="text1"/>
        </w:rPr>
        <w:t xml:space="preserve"> </w:t>
      </w:r>
      <w:r w:rsidR="00A66EB2">
        <w:rPr>
          <w:color w:val="000000" w:themeColor="text1"/>
        </w:rPr>
        <w:fldChar w:fldCharType="begin"/>
      </w:r>
      <w:r w:rsidR="00A66EB2">
        <w:rPr>
          <w:color w:val="000000" w:themeColor="text1"/>
        </w:rPr>
        <w:instrText xml:space="preserve"> ADDIN ZOTERO_ITEM CSL_CITATION {"citationID":"FKv3Z1Rw","properties":{"formattedCitation":"(Barch et al., 2021)","plainCitation":"(Barch et al., 2021)","noteIndex":0},"citationItems":[{"id":3107,"uris":["http://zotero.org/users/13126831/items/ZXQNIXB8"],"itemData":{"id":3107,"type":"article-journal","abstract":"The Adolescent Brain Cognitive Development (ABCD) Study of 11,880 youth incorporates a comprehensive range of measures assessing predictors and outcomes related to mental health across childhood and adolescence in participating youth, as well as ...","container-title":"Developmental Cognitive Neuroscience","DOI":"10.1016/j.dcn.2021.101031","language":"en","note":"PMID: 34742018","page":"101031","source":"pmc.ncbi.nlm.nih.gov","title":"Demographic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K."},{"family":"Xie","given":"Laili"}],"issued":{"date-parts":[["2021",10,29]]}}}],"schema":"https://github.com/citation-style-language/schema/raw/master/csl-citation.json"} </w:instrText>
      </w:r>
      <w:r w:rsidR="00A66EB2">
        <w:rPr>
          <w:color w:val="000000" w:themeColor="text1"/>
        </w:rPr>
        <w:fldChar w:fldCharType="separate"/>
      </w:r>
      <w:r w:rsidR="00A66EB2">
        <w:rPr>
          <w:noProof/>
          <w:color w:val="000000" w:themeColor="text1"/>
        </w:rPr>
        <w:t>(Barch et al., 2021)</w:t>
      </w:r>
      <w:r w:rsidR="00A66EB2">
        <w:rPr>
          <w:color w:val="000000" w:themeColor="text1"/>
        </w:rPr>
        <w:fldChar w:fldCharType="end"/>
      </w:r>
    </w:p>
    <w:p w14:paraId="568D4AC5" w14:textId="77777777" w:rsidR="00315D9E" w:rsidRDefault="00315D9E">
      <w:pPr>
        <w:rPr>
          <w:color w:val="000000" w:themeColor="text1"/>
        </w:rPr>
      </w:pPr>
    </w:p>
    <w:p w14:paraId="40766A12" w14:textId="77777777" w:rsidR="00315D9E" w:rsidRDefault="00315D9E">
      <w:pPr>
        <w:rPr>
          <w:color w:val="000000" w:themeColor="text1"/>
        </w:rPr>
      </w:pPr>
    </w:p>
    <w:p w14:paraId="0E57A626" w14:textId="77777777" w:rsidR="00315D9E" w:rsidRDefault="00315D9E">
      <w:pPr>
        <w:rPr>
          <w:color w:val="000000" w:themeColor="text1"/>
        </w:rPr>
      </w:pPr>
      <w:r>
        <w:rPr>
          <w:color w:val="000000" w:themeColor="text1"/>
        </w:rPr>
        <w:t>KSADS Questionnaire:</w:t>
      </w:r>
    </w:p>
    <w:p w14:paraId="10728FD7" w14:textId="77777777" w:rsidR="00315D9E" w:rsidRDefault="00315D9E">
      <w:pPr>
        <w:rPr>
          <w:color w:val="000000" w:themeColor="text1"/>
        </w:rPr>
      </w:pPr>
      <w:r>
        <w:rPr>
          <w:color w:val="000000" w:themeColor="text1"/>
        </w:rPr>
        <w:t>Components</w:t>
      </w:r>
    </w:p>
    <w:p w14:paraId="7A06C8B2" w14:textId="77777777" w:rsidR="00315D9E" w:rsidRDefault="00315D9E" w:rsidP="00315D9E">
      <w:pPr>
        <w:pStyle w:val="ListParagraph"/>
        <w:numPr>
          <w:ilvl w:val="0"/>
          <w:numId w:val="8"/>
        </w:numPr>
        <w:rPr>
          <w:color w:val="000000" w:themeColor="text1"/>
        </w:rPr>
      </w:pPr>
      <w:r>
        <w:rPr>
          <w:color w:val="000000" w:themeColor="text1"/>
        </w:rPr>
        <w:t>Introductory interview</w:t>
      </w:r>
    </w:p>
    <w:p w14:paraId="0C30FB18" w14:textId="77777777" w:rsidR="00315D9E" w:rsidRDefault="00315D9E" w:rsidP="00315D9E">
      <w:pPr>
        <w:pStyle w:val="ListParagraph"/>
        <w:numPr>
          <w:ilvl w:val="1"/>
          <w:numId w:val="8"/>
        </w:numPr>
        <w:rPr>
          <w:color w:val="000000" w:themeColor="text1"/>
        </w:rPr>
      </w:pPr>
      <w:r>
        <w:rPr>
          <w:color w:val="000000" w:themeColor="text1"/>
        </w:rPr>
        <w:t>Demographics</w:t>
      </w:r>
    </w:p>
    <w:p w14:paraId="52E76A9F" w14:textId="77777777" w:rsidR="00315D9E" w:rsidRDefault="00315D9E" w:rsidP="00315D9E">
      <w:pPr>
        <w:pStyle w:val="ListParagraph"/>
        <w:numPr>
          <w:ilvl w:val="1"/>
          <w:numId w:val="8"/>
        </w:numPr>
        <w:rPr>
          <w:color w:val="000000" w:themeColor="text1"/>
        </w:rPr>
      </w:pPr>
      <w:r>
        <w:rPr>
          <w:color w:val="000000" w:themeColor="text1"/>
        </w:rPr>
        <w:t>Health history</w:t>
      </w:r>
    </w:p>
    <w:p w14:paraId="315F0651" w14:textId="77777777" w:rsidR="00315D9E" w:rsidRDefault="00315D9E" w:rsidP="00315D9E">
      <w:pPr>
        <w:pStyle w:val="ListParagraph"/>
        <w:numPr>
          <w:ilvl w:val="1"/>
          <w:numId w:val="8"/>
        </w:numPr>
        <w:rPr>
          <w:color w:val="000000" w:themeColor="text1"/>
        </w:rPr>
      </w:pPr>
      <w:r>
        <w:rPr>
          <w:color w:val="000000" w:themeColor="text1"/>
        </w:rPr>
        <w:t>Prior psychiatric treatment</w:t>
      </w:r>
    </w:p>
    <w:p w14:paraId="0B84D37C" w14:textId="77777777" w:rsidR="00315D9E" w:rsidRDefault="00315D9E" w:rsidP="00315D9E">
      <w:pPr>
        <w:pStyle w:val="ListParagraph"/>
        <w:numPr>
          <w:ilvl w:val="1"/>
          <w:numId w:val="8"/>
        </w:numPr>
        <w:rPr>
          <w:color w:val="000000" w:themeColor="text1"/>
        </w:rPr>
      </w:pPr>
      <w:r>
        <w:rPr>
          <w:color w:val="000000" w:themeColor="text1"/>
        </w:rPr>
        <w:t>Family history of psychiatric illness</w:t>
      </w:r>
    </w:p>
    <w:p w14:paraId="3F7B54CA" w14:textId="55CAF412" w:rsidR="00315D9E" w:rsidRDefault="00315D9E" w:rsidP="00315D9E">
      <w:pPr>
        <w:pStyle w:val="ListParagraph"/>
        <w:numPr>
          <w:ilvl w:val="1"/>
          <w:numId w:val="8"/>
        </w:numPr>
        <w:rPr>
          <w:color w:val="000000" w:themeColor="text1"/>
        </w:rPr>
      </w:pPr>
      <w:r>
        <w:rPr>
          <w:color w:val="000000" w:themeColor="text1"/>
        </w:rPr>
        <w:t>Adaptive functioning (e.g. school, peers, activities)</w:t>
      </w:r>
    </w:p>
    <w:p w14:paraId="18DB4AD1" w14:textId="5D4DE9A8" w:rsidR="00315D9E" w:rsidRDefault="00315D9E" w:rsidP="00315D9E">
      <w:pPr>
        <w:pStyle w:val="ListParagraph"/>
        <w:numPr>
          <w:ilvl w:val="1"/>
          <w:numId w:val="8"/>
        </w:numPr>
        <w:rPr>
          <w:color w:val="000000" w:themeColor="text1"/>
        </w:rPr>
      </w:pPr>
      <w:r>
        <w:rPr>
          <w:color w:val="000000" w:themeColor="text1"/>
        </w:rPr>
        <w:t>Additional Questions (e.g. guns in home, gender identity, sexual orientation)</w:t>
      </w:r>
    </w:p>
    <w:p w14:paraId="766224D3" w14:textId="6B8999B9" w:rsidR="00B365C7" w:rsidRPr="00315D9E" w:rsidRDefault="00B365C7" w:rsidP="00315D9E">
      <w:pPr>
        <w:pStyle w:val="ListParagraph"/>
        <w:numPr>
          <w:ilvl w:val="1"/>
          <w:numId w:val="8"/>
        </w:numPr>
        <w:rPr>
          <w:color w:val="000000" w:themeColor="text1"/>
        </w:rPr>
      </w:pPr>
      <w:r w:rsidRPr="00315D9E">
        <w:rPr>
          <w:color w:val="000000" w:themeColor="text1"/>
        </w:rPr>
        <w:br w:type="page"/>
      </w:r>
    </w:p>
    <w:p w14:paraId="7BC04CF9" w14:textId="71521E52" w:rsidR="00B365C7" w:rsidRPr="00B365C7" w:rsidRDefault="00B365C7" w:rsidP="00B365C7">
      <w:pPr>
        <w:rPr>
          <w:b/>
          <w:bCs/>
          <w:color w:val="000000" w:themeColor="text1"/>
        </w:rPr>
      </w:pPr>
      <w:r>
        <w:rPr>
          <w:b/>
          <w:bCs/>
          <w:color w:val="000000" w:themeColor="text1"/>
        </w:rPr>
        <w:lastRenderedPageBreak/>
        <w:t>References:</w:t>
      </w:r>
    </w:p>
    <w:p w14:paraId="35CDA54F" w14:textId="77777777" w:rsidR="00A66EB2" w:rsidRPr="00A66EB2" w:rsidRDefault="00B365C7" w:rsidP="00A66EB2">
      <w:pPr>
        <w:pStyle w:val="Bibliography"/>
        <w:rPr>
          <w:color w:val="000000"/>
        </w:rPr>
      </w:pPr>
      <w:r w:rsidRPr="00B365C7">
        <w:rPr>
          <w:color w:val="000000" w:themeColor="text1"/>
        </w:rPr>
        <w:fldChar w:fldCharType="begin"/>
      </w:r>
      <w:r w:rsidRPr="00B365C7">
        <w:rPr>
          <w:color w:val="000000" w:themeColor="text1"/>
        </w:rPr>
        <w:instrText xml:space="preserve"> ADDIN ZOTERO_BIBL {"uncited":[],"omitted":[],"custom":[]} CSL_BIBLIOGRAPHY </w:instrText>
      </w:r>
      <w:r w:rsidRPr="00B365C7">
        <w:rPr>
          <w:color w:val="000000" w:themeColor="text1"/>
        </w:rPr>
        <w:fldChar w:fldCharType="separate"/>
      </w:r>
      <w:r w:rsidR="00A66EB2" w:rsidRPr="00A66EB2">
        <w:rPr>
          <w:color w:val="000000"/>
        </w:rPr>
        <w:t xml:space="preserve">Achenbach, T. M. (2006). As Others See Us: Clinical and Research Implications of Cross-Informant Correlations for Psychopathology. </w:t>
      </w:r>
      <w:r w:rsidR="00A66EB2" w:rsidRPr="00A66EB2">
        <w:rPr>
          <w:i/>
          <w:iCs/>
          <w:color w:val="000000"/>
        </w:rPr>
        <w:t>Curr Dir Psychol Sci</w:t>
      </w:r>
      <w:r w:rsidR="00A66EB2" w:rsidRPr="00A66EB2">
        <w:rPr>
          <w:color w:val="000000"/>
        </w:rPr>
        <w:t xml:space="preserve">, </w:t>
      </w:r>
      <w:r w:rsidR="00A66EB2" w:rsidRPr="00A66EB2">
        <w:rPr>
          <w:i/>
          <w:iCs/>
          <w:color w:val="000000"/>
        </w:rPr>
        <w:t>15</w:t>
      </w:r>
      <w:r w:rsidR="00A66EB2" w:rsidRPr="00A66EB2">
        <w:rPr>
          <w:color w:val="000000"/>
        </w:rPr>
        <w:t>(2), 94–98. https://doi.org/10.1111/j.0963-7214.2006.00414.x</w:t>
      </w:r>
    </w:p>
    <w:p w14:paraId="2D4B91CE" w14:textId="77777777" w:rsidR="00A66EB2" w:rsidRPr="00A66EB2" w:rsidRDefault="00A66EB2" w:rsidP="00A66EB2">
      <w:pPr>
        <w:pStyle w:val="Bibliography"/>
        <w:rPr>
          <w:color w:val="000000"/>
        </w:rPr>
      </w:pPr>
      <w:r w:rsidRPr="00A66EB2">
        <w:rPr>
          <w:color w:val="000000"/>
        </w:rPr>
        <w:t xml:space="preserve">Achenbach, T. M. (2009). </w:t>
      </w:r>
      <w:r w:rsidRPr="00A66EB2">
        <w:rPr>
          <w:i/>
          <w:iCs/>
          <w:color w:val="000000"/>
        </w:rPr>
        <w:t>The Achenbach system of empirically based assessment (ASEBA): Development, findings, theory, and applications</w:t>
      </w:r>
      <w:r w:rsidRPr="00A66EB2">
        <w:rPr>
          <w:color w:val="000000"/>
        </w:rPr>
        <w:t>. University of Vermont, Research Center for Children, Youth, &amp; Families.</w:t>
      </w:r>
    </w:p>
    <w:p w14:paraId="472557F7" w14:textId="77777777" w:rsidR="00A66EB2" w:rsidRPr="00A66EB2" w:rsidRDefault="00A66EB2" w:rsidP="00A66EB2">
      <w:pPr>
        <w:pStyle w:val="Bibliography"/>
        <w:rPr>
          <w:color w:val="000000"/>
        </w:rPr>
      </w:pPr>
      <w:proofErr w:type="spellStart"/>
      <w:r w:rsidRPr="00A66EB2">
        <w:rPr>
          <w:color w:val="000000"/>
        </w:rPr>
        <w:t>Bandelow</w:t>
      </w:r>
      <w:proofErr w:type="spellEnd"/>
      <w:r w:rsidRPr="00A66EB2">
        <w:rPr>
          <w:color w:val="000000"/>
        </w:rPr>
        <w:t xml:space="preserve">, B., &amp; Michaelis, S. (2015). Epidemiology of anxiety disorders in the 21st century. </w:t>
      </w:r>
      <w:r w:rsidRPr="00A66EB2">
        <w:rPr>
          <w:i/>
          <w:iCs/>
          <w:color w:val="000000"/>
        </w:rPr>
        <w:t>Dialogues in Clinical Neuroscience</w:t>
      </w:r>
      <w:r w:rsidRPr="00A66EB2">
        <w:rPr>
          <w:color w:val="000000"/>
        </w:rPr>
        <w:t xml:space="preserve">, </w:t>
      </w:r>
      <w:r w:rsidRPr="00A66EB2">
        <w:rPr>
          <w:i/>
          <w:iCs/>
          <w:color w:val="000000"/>
        </w:rPr>
        <w:t>17</w:t>
      </w:r>
      <w:r w:rsidRPr="00A66EB2">
        <w:rPr>
          <w:color w:val="000000"/>
        </w:rPr>
        <w:t>(3), 327–335. https://doi.org/10.31887/DCNS.2015.17.3/bbandelow</w:t>
      </w:r>
    </w:p>
    <w:p w14:paraId="7EAC672F" w14:textId="77777777" w:rsidR="00A66EB2" w:rsidRPr="00A66EB2" w:rsidRDefault="00A66EB2" w:rsidP="00A66EB2">
      <w:pPr>
        <w:pStyle w:val="Bibliography"/>
        <w:rPr>
          <w:color w:val="000000"/>
        </w:rPr>
      </w:pPr>
      <w:r w:rsidRPr="00A66EB2">
        <w:rPr>
          <w:color w:val="000000"/>
        </w:rPr>
        <w:t xml:space="preserve">Barch, D. M., Albaugh, M. D., Baskin-Sommers, A., Bryant, B. E., Clark, D. B., Dick, A. S., </w:t>
      </w:r>
      <w:proofErr w:type="spellStart"/>
      <w:r w:rsidRPr="00A66EB2">
        <w:rPr>
          <w:color w:val="000000"/>
        </w:rPr>
        <w:t>Feczko</w:t>
      </w:r>
      <w:proofErr w:type="spellEnd"/>
      <w:r w:rsidRPr="00A66EB2">
        <w:rPr>
          <w:color w:val="000000"/>
        </w:rPr>
        <w:t xml:space="preserve">, E., Foxe, J. J., Gee, D. G., </w:t>
      </w:r>
      <w:proofErr w:type="spellStart"/>
      <w:r w:rsidRPr="00A66EB2">
        <w:rPr>
          <w:color w:val="000000"/>
        </w:rPr>
        <w:t>Giedd</w:t>
      </w:r>
      <w:proofErr w:type="spellEnd"/>
      <w:r w:rsidRPr="00A66EB2">
        <w:rPr>
          <w:color w:val="000000"/>
        </w:rPr>
        <w:t xml:space="preserve">, J., Glantz, M. D., </w:t>
      </w:r>
      <w:proofErr w:type="spellStart"/>
      <w:r w:rsidRPr="00A66EB2">
        <w:rPr>
          <w:color w:val="000000"/>
        </w:rPr>
        <w:t>Hudziak</w:t>
      </w:r>
      <w:proofErr w:type="spellEnd"/>
      <w:r w:rsidRPr="00A66EB2">
        <w:rPr>
          <w:color w:val="000000"/>
        </w:rPr>
        <w:t xml:space="preserve">, J. J., Karcher, N. R., LeBlanc, K., Maddox, M., McGlade, E. C., Mulford, C., Nagel, B. J., Neigh, G., … Xie, L. (2021). Demographic and mental health assessments in the adolescent brain and cognitive development study: Updates and age-related trajectories. </w:t>
      </w:r>
      <w:r w:rsidRPr="00A66EB2">
        <w:rPr>
          <w:i/>
          <w:iCs/>
          <w:color w:val="000000"/>
        </w:rPr>
        <w:t>Developmental Cognitive Neuroscience</w:t>
      </w:r>
      <w:r w:rsidRPr="00A66EB2">
        <w:rPr>
          <w:color w:val="000000"/>
        </w:rPr>
        <w:t xml:space="preserve">, </w:t>
      </w:r>
      <w:r w:rsidRPr="00A66EB2">
        <w:rPr>
          <w:i/>
          <w:iCs/>
          <w:color w:val="000000"/>
        </w:rPr>
        <w:t>52</w:t>
      </w:r>
      <w:r w:rsidRPr="00A66EB2">
        <w:rPr>
          <w:color w:val="000000"/>
        </w:rPr>
        <w:t>, 101031. https://doi.org/10.1016/j.dcn.2021.101031</w:t>
      </w:r>
    </w:p>
    <w:p w14:paraId="36FF68B7" w14:textId="77777777" w:rsidR="00A66EB2" w:rsidRPr="00A66EB2" w:rsidRDefault="00A66EB2" w:rsidP="00A66EB2">
      <w:pPr>
        <w:pStyle w:val="Bibliography"/>
        <w:rPr>
          <w:color w:val="000000"/>
        </w:rPr>
      </w:pPr>
      <w:r w:rsidRPr="00A66EB2">
        <w:rPr>
          <w:color w:val="000000"/>
        </w:rPr>
        <w:t xml:space="preserve">Barrett, M. L., Berney, T. P., </w:t>
      </w:r>
      <w:proofErr w:type="spellStart"/>
      <w:r w:rsidRPr="00A66EB2">
        <w:rPr>
          <w:color w:val="000000"/>
        </w:rPr>
        <w:t>Bhate</w:t>
      </w:r>
      <w:proofErr w:type="spellEnd"/>
      <w:r w:rsidRPr="00A66EB2">
        <w:rPr>
          <w:color w:val="000000"/>
        </w:rPr>
        <w:t xml:space="preserve">, S., </w:t>
      </w:r>
      <w:proofErr w:type="spellStart"/>
      <w:r w:rsidRPr="00A66EB2">
        <w:rPr>
          <w:color w:val="000000"/>
        </w:rPr>
        <w:t>Famuyiwa</w:t>
      </w:r>
      <w:proofErr w:type="spellEnd"/>
      <w:r w:rsidRPr="00A66EB2">
        <w:rPr>
          <w:color w:val="000000"/>
        </w:rPr>
        <w:t xml:space="preserve">, O. O., </w:t>
      </w:r>
      <w:proofErr w:type="spellStart"/>
      <w:r w:rsidRPr="00A66EB2">
        <w:rPr>
          <w:color w:val="000000"/>
        </w:rPr>
        <w:t>Fundudis</w:t>
      </w:r>
      <w:proofErr w:type="spellEnd"/>
      <w:r w:rsidRPr="00A66EB2">
        <w:rPr>
          <w:color w:val="000000"/>
        </w:rPr>
        <w:t xml:space="preserve">, T., </w:t>
      </w:r>
      <w:proofErr w:type="spellStart"/>
      <w:r w:rsidRPr="00A66EB2">
        <w:rPr>
          <w:color w:val="000000"/>
        </w:rPr>
        <w:t>Kolvin</w:t>
      </w:r>
      <w:proofErr w:type="spellEnd"/>
      <w:r w:rsidRPr="00A66EB2">
        <w:rPr>
          <w:color w:val="000000"/>
        </w:rPr>
        <w:t xml:space="preserve">, I., &amp; Tyrer, S. (1991). Diagnosing Childhood Depression. Who Should be Interviewed—Parent or </w:t>
      </w:r>
      <w:proofErr w:type="gramStart"/>
      <w:r w:rsidRPr="00A66EB2">
        <w:rPr>
          <w:color w:val="000000"/>
        </w:rPr>
        <w:t>Child?:</w:t>
      </w:r>
      <w:proofErr w:type="gramEnd"/>
      <w:r w:rsidRPr="00A66EB2">
        <w:rPr>
          <w:color w:val="000000"/>
        </w:rPr>
        <w:t xml:space="preserve"> The Newcastle Child Depression Project. </w:t>
      </w:r>
      <w:r w:rsidRPr="00A66EB2">
        <w:rPr>
          <w:i/>
          <w:iCs/>
          <w:color w:val="000000"/>
        </w:rPr>
        <w:t>The British Journal of Psychiatry</w:t>
      </w:r>
      <w:r w:rsidRPr="00A66EB2">
        <w:rPr>
          <w:color w:val="000000"/>
        </w:rPr>
        <w:t xml:space="preserve">, </w:t>
      </w:r>
      <w:r w:rsidRPr="00A66EB2">
        <w:rPr>
          <w:i/>
          <w:iCs/>
          <w:color w:val="000000"/>
        </w:rPr>
        <w:t>159</w:t>
      </w:r>
      <w:r w:rsidRPr="00A66EB2">
        <w:rPr>
          <w:color w:val="000000"/>
        </w:rPr>
        <w:t>(S11), 22–27. https://doi.org/10.1192/S0007125000292118</w:t>
      </w:r>
    </w:p>
    <w:p w14:paraId="7F610ADF" w14:textId="77777777" w:rsidR="00A66EB2" w:rsidRPr="00A66EB2" w:rsidRDefault="00A66EB2" w:rsidP="00A66EB2">
      <w:pPr>
        <w:pStyle w:val="Bibliography"/>
        <w:rPr>
          <w:color w:val="000000"/>
        </w:rPr>
      </w:pPr>
      <w:proofErr w:type="spellStart"/>
      <w:r w:rsidRPr="00A66EB2">
        <w:rPr>
          <w:color w:val="000000"/>
        </w:rPr>
        <w:t>Bauducco</w:t>
      </w:r>
      <w:proofErr w:type="spellEnd"/>
      <w:r w:rsidRPr="00A66EB2">
        <w:rPr>
          <w:color w:val="000000"/>
        </w:rPr>
        <w:t xml:space="preserve">, S., Gardner, L. A., Smout, S., Champion, K. E., Chapman, C., Gamble, A., </w:t>
      </w:r>
      <w:proofErr w:type="spellStart"/>
      <w:r w:rsidRPr="00A66EB2">
        <w:rPr>
          <w:color w:val="000000"/>
        </w:rPr>
        <w:t>Teesson</w:t>
      </w:r>
      <w:proofErr w:type="spellEnd"/>
      <w:r w:rsidRPr="00A66EB2">
        <w:rPr>
          <w:color w:val="000000"/>
        </w:rPr>
        <w:t xml:space="preserve">, M., </w:t>
      </w:r>
      <w:proofErr w:type="spellStart"/>
      <w:r w:rsidRPr="00A66EB2">
        <w:rPr>
          <w:color w:val="000000"/>
        </w:rPr>
        <w:t>Gradisar</w:t>
      </w:r>
      <w:proofErr w:type="spellEnd"/>
      <w:r w:rsidRPr="00A66EB2">
        <w:rPr>
          <w:color w:val="000000"/>
        </w:rPr>
        <w:t xml:space="preserve">, M., &amp; Newton, N. C. (2024). Adolescents’ trajectories of depression and anxiety symptoms prior to and during the COVID-19 pandemic and their association with </w:t>
      </w:r>
      <w:r w:rsidRPr="00A66EB2">
        <w:rPr>
          <w:color w:val="000000"/>
        </w:rPr>
        <w:lastRenderedPageBreak/>
        <w:t xml:space="preserve">healthy sleep patterns. </w:t>
      </w:r>
      <w:r w:rsidRPr="00A66EB2">
        <w:rPr>
          <w:i/>
          <w:iCs/>
          <w:color w:val="000000"/>
        </w:rPr>
        <w:t>Scientific Reports</w:t>
      </w:r>
      <w:r w:rsidRPr="00A66EB2">
        <w:rPr>
          <w:color w:val="000000"/>
        </w:rPr>
        <w:t xml:space="preserve">, </w:t>
      </w:r>
      <w:r w:rsidRPr="00A66EB2">
        <w:rPr>
          <w:i/>
          <w:iCs/>
          <w:color w:val="000000"/>
        </w:rPr>
        <w:t>14</w:t>
      </w:r>
      <w:r w:rsidRPr="00A66EB2">
        <w:rPr>
          <w:color w:val="000000"/>
        </w:rPr>
        <w:t>, 10764. https://doi.org/10.1038/s41598-024-60974-y</w:t>
      </w:r>
    </w:p>
    <w:p w14:paraId="48EAF769" w14:textId="77777777" w:rsidR="00A66EB2" w:rsidRPr="00A66EB2" w:rsidRDefault="00A66EB2" w:rsidP="00A66EB2">
      <w:pPr>
        <w:pStyle w:val="Bibliography"/>
        <w:rPr>
          <w:color w:val="000000"/>
        </w:rPr>
      </w:pPr>
      <w:proofErr w:type="spellStart"/>
      <w:r w:rsidRPr="00A66EB2">
        <w:rPr>
          <w:color w:val="000000"/>
        </w:rPr>
        <w:t>Beesdo</w:t>
      </w:r>
      <w:proofErr w:type="spellEnd"/>
      <w:r w:rsidRPr="00A66EB2">
        <w:rPr>
          <w:color w:val="000000"/>
        </w:rPr>
        <w:t xml:space="preserve">, K., </w:t>
      </w:r>
      <w:proofErr w:type="spellStart"/>
      <w:r w:rsidRPr="00A66EB2">
        <w:rPr>
          <w:color w:val="000000"/>
        </w:rPr>
        <w:t>Knappe</w:t>
      </w:r>
      <w:proofErr w:type="spellEnd"/>
      <w:r w:rsidRPr="00A66EB2">
        <w:rPr>
          <w:color w:val="000000"/>
        </w:rPr>
        <w:t xml:space="preserve">, S., &amp; Pine, D. S. (2009). Anxiety and Anxiety Disorders in Children and Adolescents: Developmental Issues and Implications for DSM-V. </w:t>
      </w:r>
      <w:r w:rsidRPr="00A66EB2">
        <w:rPr>
          <w:i/>
          <w:iCs/>
          <w:color w:val="000000"/>
        </w:rPr>
        <w:t>The Psychiatric Clinics of North America</w:t>
      </w:r>
      <w:r w:rsidRPr="00A66EB2">
        <w:rPr>
          <w:color w:val="000000"/>
        </w:rPr>
        <w:t xml:space="preserve">, </w:t>
      </w:r>
      <w:r w:rsidRPr="00A66EB2">
        <w:rPr>
          <w:i/>
          <w:iCs/>
          <w:color w:val="000000"/>
        </w:rPr>
        <w:t>32</w:t>
      </w:r>
      <w:r w:rsidRPr="00A66EB2">
        <w:rPr>
          <w:color w:val="000000"/>
        </w:rPr>
        <w:t>(3), 483. https://doi.org/10.1016/j.psc.2009.06.002</w:t>
      </w:r>
    </w:p>
    <w:p w14:paraId="79224E48" w14:textId="77777777" w:rsidR="00A66EB2" w:rsidRPr="00A66EB2" w:rsidRDefault="00A66EB2" w:rsidP="00A66EB2">
      <w:pPr>
        <w:pStyle w:val="Bibliography"/>
        <w:rPr>
          <w:color w:val="000000"/>
        </w:rPr>
      </w:pPr>
      <w:r w:rsidRPr="00A66EB2">
        <w:rPr>
          <w:color w:val="000000"/>
        </w:rPr>
        <w:t xml:space="preserve">Bora, E., </w:t>
      </w:r>
      <w:proofErr w:type="spellStart"/>
      <w:r w:rsidRPr="00A66EB2">
        <w:rPr>
          <w:color w:val="000000"/>
        </w:rPr>
        <w:t>Fornito</w:t>
      </w:r>
      <w:proofErr w:type="spellEnd"/>
      <w:r w:rsidRPr="00A66EB2">
        <w:rPr>
          <w:color w:val="000000"/>
        </w:rPr>
        <w:t xml:space="preserve">, A., Pantelis, C., &amp; </w:t>
      </w:r>
      <w:proofErr w:type="spellStart"/>
      <w:r w:rsidRPr="00A66EB2">
        <w:rPr>
          <w:color w:val="000000"/>
        </w:rPr>
        <w:t>Yücel</w:t>
      </w:r>
      <w:proofErr w:type="spellEnd"/>
      <w:r w:rsidRPr="00A66EB2">
        <w:rPr>
          <w:color w:val="000000"/>
        </w:rPr>
        <w:t xml:space="preserve">, M. (2012). Gray matter abnormalities in Major Depressive Disorder: A meta-analysis of </w:t>
      </w:r>
      <w:proofErr w:type="gramStart"/>
      <w:r w:rsidRPr="00A66EB2">
        <w:rPr>
          <w:color w:val="000000"/>
        </w:rPr>
        <w:t>voxel based</w:t>
      </w:r>
      <w:proofErr w:type="gramEnd"/>
      <w:r w:rsidRPr="00A66EB2">
        <w:rPr>
          <w:color w:val="000000"/>
        </w:rPr>
        <w:t xml:space="preserve"> morphometry studies. </w:t>
      </w:r>
      <w:r w:rsidRPr="00A66EB2">
        <w:rPr>
          <w:i/>
          <w:iCs/>
          <w:color w:val="000000"/>
        </w:rPr>
        <w:t xml:space="preserve">J Affect </w:t>
      </w:r>
      <w:proofErr w:type="spellStart"/>
      <w:r w:rsidRPr="00A66EB2">
        <w:rPr>
          <w:i/>
          <w:iCs/>
          <w:color w:val="000000"/>
        </w:rPr>
        <w:t>Disord</w:t>
      </w:r>
      <w:proofErr w:type="spellEnd"/>
      <w:r w:rsidRPr="00A66EB2">
        <w:rPr>
          <w:color w:val="000000"/>
        </w:rPr>
        <w:t xml:space="preserve">, </w:t>
      </w:r>
      <w:r w:rsidRPr="00A66EB2">
        <w:rPr>
          <w:i/>
          <w:iCs/>
          <w:color w:val="000000"/>
        </w:rPr>
        <w:t>138</w:t>
      </w:r>
      <w:r w:rsidRPr="00A66EB2">
        <w:rPr>
          <w:color w:val="000000"/>
        </w:rPr>
        <w:t>(1), 9–18. https://doi.org/10.1016/j.jad.2011.03.049</w:t>
      </w:r>
    </w:p>
    <w:p w14:paraId="342229E0" w14:textId="77777777" w:rsidR="00A66EB2" w:rsidRPr="00A66EB2" w:rsidRDefault="00A66EB2" w:rsidP="00A66EB2">
      <w:pPr>
        <w:pStyle w:val="Bibliography"/>
        <w:rPr>
          <w:color w:val="000000"/>
        </w:rPr>
      </w:pPr>
      <w:proofErr w:type="spellStart"/>
      <w:r w:rsidRPr="00A66EB2">
        <w:rPr>
          <w:color w:val="000000"/>
        </w:rPr>
        <w:t>Bromis</w:t>
      </w:r>
      <w:proofErr w:type="spellEnd"/>
      <w:r w:rsidRPr="00A66EB2">
        <w:rPr>
          <w:color w:val="000000"/>
        </w:rPr>
        <w:t xml:space="preserve">, K., </w:t>
      </w:r>
      <w:proofErr w:type="spellStart"/>
      <w:r w:rsidRPr="00A66EB2">
        <w:rPr>
          <w:color w:val="000000"/>
        </w:rPr>
        <w:t>Calem</w:t>
      </w:r>
      <w:proofErr w:type="spellEnd"/>
      <w:r w:rsidRPr="00A66EB2">
        <w:rPr>
          <w:color w:val="000000"/>
        </w:rPr>
        <w:t xml:space="preserve">, M., Reinders, A. A. T. S., Williams, S. C. R., &amp; Kempton, M. J. (2018). Meta-Analysis of 89 Structural MRI Studies in Posttraumatic Stress Disorder and Comparison </w:t>
      </w:r>
      <w:proofErr w:type="gramStart"/>
      <w:r w:rsidRPr="00A66EB2">
        <w:rPr>
          <w:color w:val="000000"/>
        </w:rPr>
        <w:t>With</w:t>
      </w:r>
      <w:proofErr w:type="gramEnd"/>
      <w:r w:rsidRPr="00A66EB2">
        <w:rPr>
          <w:color w:val="000000"/>
        </w:rPr>
        <w:t xml:space="preserve"> Major Depressive Disorder. </w:t>
      </w:r>
      <w:r w:rsidRPr="00A66EB2">
        <w:rPr>
          <w:i/>
          <w:iCs/>
          <w:color w:val="000000"/>
        </w:rPr>
        <w:t>Am J Psychiatry</w:t>
      </w:r>
      <w:r w:rsidRPr="00A66EB2">
        <w:rPr>
          <w:color w:val="000000"/>
        </w:rPr>
        <w:t xml:space="preserve">, </w:t>
      </w:r>
      <w:r w:rsidRPr="00A66EB2">
        <w:rPr>
          <w:i/>
          <w:iCs/>
          <w:color w:val="000000"/>
        </w:rPr>
        <w:t>175</w:t>
      </w:r>
      <w:r w:rsidRPr="00A66EB2">
        <w:rPr>
          <w:color w:val="000000"/>
        </w:rPr>
        <w:t>(10), 989–998. https://doi.org/10.1176/appi.ajp.2018.17111199</w:t>
      </w:r>
    </w:p>
    <w:p w14:paraId="1DAD4AAC" w14:textId="77777777" w:rsidR="00A66EB2" w:rsidRPr="00A66EB2" w:rsidRDefault="00A66EB2" w:rsidP="00A66EB2">
      <w:pPr>
        <w:pStyle w:val="Bibliography"/>
        <w:rPr>
          <w:color w:val="000000"/>
        </w:rPr>
      </w:pPr>
      <w:r w:rsidRPr="00A66EB2">
        <w:rPr>
          <w:color w:val="000000"/>
        </w:rPr>
        <w:t xml:space="preserve">Brown, S. A., Brumback, T., Tomlinson, K., Cummins, K., Thompson, W. K., Nagel, B. J., De Bellis, M. D., Hooper, S. R., Clark, D. B., &amp; Chung, T. (2015). The National Consortium on Alcohol and </w:t>
      </w:r>
      <w:proofErr w:type="spellStart"/>
      <w:r w:rsidRPr="00A66EB2">
        <w:rPr>
          <w:color w:val="000000"/>
        </w:rPr>
        <w:t>NeuroDevelopment</w:t>
      </w:r>
      <w:proofErr w:type="spellEnd"/>
      <w:r w:rsidRPr="00A66EB2">
        <w:rPr>
          <w:color w:val="000000"/>
        </w:rPr>
        <w:t xml:space="preserve"> in Adolescence (NCANDA): A multisite study of adolescent development and substance use. </w:t>
      </w:r>
      <w:r w:rsidRPr="00A66EB2">
        <w:rPr>
          <w:i/>
          <w:iCs/>
          <w:color w:val="000000"/>
        </w:rPr>
        <w:t>Journal of Studies on Alcohol and Drugs</w:t>
      </w:r>
      <w:r w:rsidRPr="00A66EB2">
        <w:rPr>
          <w:color w:val="000000"/>
        </w:rPr>
        <w:t xml:space="preserve">, </w:t>
      </w:r>
      <w:r w:rsidRPr="00A66EB2">
        <w:rPr>
          <w:i/>
          <w:iCs/>
          <w:color w:val="000000"/>
        </w:rPr>
        <w:t>76</w:t>
      </w:r>
      <w:r w:rsidRPr="00A66EB2">
        <w:rPr>
          <w:color w:val="000000"/>
        </w:rPr>
        <w:t>(6), 895–908.</w:t>
      </w:r>
    </w:p>
    <w:p w14:paraId="1C16693A" w14:textId="77777777" w:rsidR="00A66EB2" w:rsidRPr="00A66EB2" w:rsidRDefault="00A66EB2" w:rsidP="00A66EB2">
      <w:pPr>
        <w:pStyle w:val="Bibliography"/>
        <w:rPr>
          <w:color w:val="000000"/>
        </w:rPr>
      </w:pPr>
      <w:proofErr w:type="spellStart"/>
      <w:r w:rsidRPr="00A66EB2">
        <w:rPr>
          <w:color w:val="000000"/>
        </w:rPr>
        <w:t>Bystritsky</w:t>
      </w:r>
      <w:proofErr w:type="spellEnd"/>
      <w:r w:rsidRPr="00A66EB2">
        <w:rPr>
          <w:color w:val="000000"/>
        </w:rPr>
        <w:t xml:space="preserve">, A., Khalsa, S. S., Cameron, M. E., &amp; Schiffman, J. (2013). Current Diagnosis and Treatment of Anxiety Disorders. </w:t>
      </w:r>
      <w:r w:rsidRPr="00A66EB2">
        <w:rPr>
          <w:i/>
          <w:iCs/>
          <w:color w:val="000000"/>
        </w:rPr>
        <w:t>Pharmacy and Therapeutics</w:t>
      </w:r>
      <w:r w:rsidRPr="00A66EB2">
        <w:rPr>
          <w:color w:val="000000"/>
        </w:rPr>
        <w:t xml:space="preserve">, </w:t>
      </w:r>
      <w:r w:rsidRPr="00A66EB2">
        <w:rPr>
          <w:i/>
          <w:iCs/>
          <w:color w:val="000000"/>
        </w:rPr>
        <w:t>38</w:t>
      </w:r>
      <w:r w:rsidRPr="00A66EB2">
        <w:rPr>
          <w:color w:val="000000"/>
        </w:rPr>
        <w:t>(1), 30–57.</w:t>
      </w:r>
    </w:p>
    <w:p w14:paraId="22CF8727" w14:textId="77777777" w:rsidR="00A66EB2" w:rsidRPr="00A66EB2" w:rsidRDefault="00A66EB2" w:rsidP="00A66EB2">
      <w:pPr>
        <w:pStyle w:val="Bibliography"/>
        <w:rPr>
          <w:color w:val="000000"/>
        </w:rPr>
      </w:pPr>
      <w:proofErr w:type="spellStart"/>
      <w:r w:rsidRPr="00A66EB2">
        <w:rPr>
          <w:color w:val="000000"/>
        </w:rPr>
        <w:t>Eiser</w:t>
      </w:r>
      <w:proofErr w:type="spellEnd"/>
      <w:r w:rsidRPr="00A66EB2">
        <w:rPr>
          <w:color w:val="000000"/>
        </w:rPr>
        <w:t xml:space="preserve">, C., &amp; Morse, R. (2001). Can Parents Rate Their Child’s Health-Related Quality of Life? Results of a Systematic Review. </w:t>
      </w:r>
      <w:r w:rsidRPr="00A66EB2">
        <w:rPr>
          <w:i/>
          <w:iCs/>
          <w:color w:val="000000"/>
        </w:rPr>
        <w:t>Qual Life Res</w:t>
      </w:r>
      <w:r w:rsidRPr="00A66EB2">
        <w:rPr>
          <w:color w:val="000000"/>
        </w:rPr>
        <w:t xml:space="preserve">, </w:t>
      </w:r>
      <w:r w:rsidRPr="00A66EB2">
        <w:rPr>
          <w:i/>
          <w:iCs/>
          <w:color w:val="000000"/>
        </w:rPr>
        <w:t>10</w:t>
      </w:r>
      <w:r w:rsidRPr="00A66EB2">
        <w:rPr>
          <w:color w:val="000000"/>
        </w:rPr>
        <w:t>(4), 347–357. https://doi.org/10.1023/A:1012253723272</w:t>
      </w:r>
    </w:p>
    <w:p w14:paraId="0E8095AC" w14:textId="77777777" w:rsidR="00A66EB2" w:rsidRPr="00A66EB2" w:rsidRDefault="00A66EB2" w:rsidP="00A66EB2">
      <w:pPr>
        <w:pStyle w:val="Bibliography"/>
        <w:rPr>
          <w:color w:val="000000"/>
        </w:rPr>
      </w:pPr>
      <w:r w:rsidRPr="00A66EB2">
        <w:rPr>
          <w:color w:val="000000"/>
        </w:rPr>
        <w:lastRenderedPageBreak/>
        <w:t xml:space="preserve">Goodkind, M., Eickhoff, S. B., </w:t>
      </w:r>
      <w:proofErr w:type="spellStart"/>
      <w:r w:rsidRPr="00A66EB2">
        <w:rPr>
          <w:color w:val="000000"/>
        </w:rPr>
        <w:t>Oathes</w:t>
      </w:r>
      <w:proofErr w:type="spellEnd"/>
      <w:r w:rsidRPr="00A66EB2">
        <w:rPr>
          <w:color w:val="000000"/>
        </w:rPr>
        <w:t>, D. J., Jiang, Y., Chang, A., Jones-</w:t>
      </w:r>
      <w:proofErr w:type="spellStart"/>
      <w:r w:rsidRPr="00A66EB2">
        <w:rPr>
          <w:color w:val="000000"/>
        </w:rPr>
        <w:t>Hagata</w:t>
      </w:r>
      <w:proofErr w:type="spellEnd"/>
      <w:r w:rsidRPr="00A66EB2">
        <w:rPr>
          <w:color w:val="000000"/>
        </w:rPr>
        <w:t xml:space="preserve">, L. B., Ortega, B. N., </w:t>
      </w:r>
      <w:proofErr w:type="spellStart"/>
      <w:r w:rsidRPr="00A66EB2">
        <w:rPr>
          <w:color w:val="000000"/>
        </w:rPr>
        <w:t>Zaiko</w:t>
      </w:r>
      <w:proofErr w:type="spellEnd"/>
      <w:r w:rsidRPr="00A66EB2">
        <w:rPr>
          <w:color w:val="000000"/>
        </w:rPr>
        <w:t xml:space="preserve">, Y. V., Roach, E. L., </w:t>
      </w:r>
      <w:proofErr w:type="spellStart"/>
      <w:r w:rsidRPr="00A66EB2">
        <w:rPr>
          <w:color w:val="000000"/>
        </w:rPr>
        <w:t>Korgaonkar</w:t>
      </w:r>
      <w:proofErr w:type="spellEnd"/>
      <w:r w:rsidRPr="00A66EB2">
        <w:rPr>
          <w:color w:val="000000"/>
        </w:rPr>
        <w:t xml:space="preserve">, M. S., Grieve, S. M., </w:t>
      </w:r>
      <w:proofErr w:type="spellStart"/>
      <w:r w:rsidRPr="00A66EB2">
        <w:rPr>
          <w:color w:val="000000"/>
        </w:rPr>
        <w:t>Galatzer</w:t>
      </w:r>
      <w:proofErr w:type="spellEnd"/>
      <w:r w:rsidRPr="00A66EB2">
        <w:rPr>
          <w:color w:val="000000"/>
        </w:rPr>
        <w:t xml:space="preserve">-Levy, I., Fox, P. T., &amp; </w:t>
      </w:r>
      <w:proofErr w:type="spellStart"/>
      <w:r w:rsidRPr="00A66EB2">
        <w:rPr>
          <w:color w:val="000000"/>
        </w:rPr>
        <w:t>Etkin</w:t>
      </w:r>
      <w:proofErr w:type="spellEnd"/>
      <w:r w:rsidRPr="00A66EB2">
        <w:rPr>
          <w:color w:val="000000"/>
        </w:rPr>
        <w:t xml:space="preserve">, A. (2015). Identification of a Common Neurobiological Substrate for Mental Illness. </w:t>
      </w:r>
      <w:r w:rsidRPr="00A66EB2">
        <w:rPr>
          <w:i/>
          <w:iCs/>
          <w:color w:val="000000"/>
        </w:rPr>
        <w:t>JAMA Psychiatry</w:t>
      </w:r>
      <w:r w:rsidRPr="00A66EB2">
        <w:rPr>
          <w:color w:val="000000"/>
        </w:rPr>
        <w:t xml:space="preserve">, </w:t>
      </w:r>
      <w:r w:rsidRPr="00A66EB2">
        <w:rPr>
          <w:i/>
          <w:iCs/>
          <w:color w:val="000000"/>
        </w:rPr>
        <w:t>72</w:t>
      </w:r>
      <w:r w:rsidRPr="00A66EB2">
        <w:rPr>
          <w:color w:val="000000"/>
        </w:rPr>
        <w:t>(4), 305–315. https://doi.org/10.1001/jamapsychiatry.2014.2206</w:t>
      </w:r>
    </w:p>
    <w:p w14:paraId="75FAAB4B" w14:textId="77777777" w:rsidR="00A66EB2" w:rsidRPr="00A66EB2" w:rsidRDefault="00A66EB2" w:rsidP="00A66EB2">
      <w:pPr>
        <w:pStyle w:val="Bibliography"/>
        <w:rPr>
          <w:color w:val="000000"/>
        </w:rPr>
      </w:pPr>
      <w:r w:rsidRPr="00A66EB2">
        <w:rPr>
          <w:color w:val="000000"/>
        </w:rPr>
        <w:t xml:space="preserve">Hilbert, K., Lueken, U., </w:t>
      </w:r>
      <w:proofErr w:type="spellStart"/>
      <w:r w:rsidRPr="00A66EB2">
        <w:rPr>
          <w:color w:val="000000"/>
        </w:rPr>
        <w:t>Muehlhan</w:t>
      </w:r>
      <w:proofErr w:type="spellEnd"/>
      <w:r w:rsidRPr="00A66EB2">
        <w:rPr>
          <w:color w:val="000000"/>
        </w:rPr>
        <w:t xml:space="preserve">, M., &amp; </w:t>
      </w:r>
      <w:proofErr w:type="spellStart"/>
      <w:r w:rsidRPr="00A66EB2">
        <w:rPr>
          <w:color w:val="000000"/>
        </w:rPr>
        <w:t>Beesdo</w:t>
      </w:r>
      <w:proofErr w:type="spellEnd"/>
      <w:r w:rsidRPr="00A66EB2">
        <w:rPr>
          <w:color w:val="000000"/>
        </w:rPr>
        <w:t xml:space="preserve">-Baum, K. (2017). Separating generalized anxiety disorder from major depression using clinical, hormonal, and structural MRI data: A multimodal machine learning study. </w:t>
      </w:r>
      <w:r w:rsidRPr="00A66EB2">
        <w:rPr>
          <w:i/>
          <w:iCs/>
          <w:color w:val="000000"/>
        </w:rPr>
        <w:t>Brain and Behavior</w:t>
      </w:r>
      <w:r w:rsidRPr="00A66EB2">
        <w:rPr>
          <w:color w:val="000000"/>
        </w:rPr>
        <w:t xml:space="preserve">, </w:t>
      </w:r>
      <w:r w:rsidRPr="00A66EB2">
        <w:rPr>
          <w:i/>
          <w:iCs/>
          <w:color w:val="000000"/>
        </w:rPr>
        <w:t>7</w:t>
      </w:r>
      <w:r w:rsidRPr="00A66EB2">
        <w:rPr>
          <w:color w:val="000000"/>
        </w:rPr>
        <w:t>(3), e00633. https://doi.org/10.1002/brb3.633</w:t>
      </w:r>
    </w:p>
    <w:p w14:paraId="2C8A44D9" w14:textId="77777777" w:rsidR="00A66EB2" w:rsidRPr="00A66EB2" w:rsidRDefault="00A66EB2" w:rsidP="00A66EB2">
      <w:pPr>
        <w:pStyle w:val="Bibliography"/>
        <w:rPr>
          <w:color w:val="000000"/>
        </w:rPr>
      </w:pPr>
      <w:r w:rsidRPr="00A66EB2">
        <w:rPr>
          <w:color w:val="000000"/>
        </w:rPr>
        <w:t xml:space="preserve">Kaufman, J., &amp; </w:t>
      </w:r>
      <w:proofErr w:type="spellStart"/>
      <w:r w:rsidRPr="00A66EB2">
        <w:rPr>
          <w:color w:val="000000"/>
        </w:rPr>
        <w:t>Birmaher</w:t>
      </w:r>
      <w:proofErr w:type="spellEnd"/>
      <w:r w:rsidRPr="00A66EB2">
        <w:rPr>
          <w:color w:val="000000"/>
        </w:rPr>
        <w:t xml:space="preserve">, B. (2013). </w:t>
      </w:r>
      <w:r w:rsidRPr="00A66EB2">
        <w:rPr>
          <w:i/>
          <w:iCs/>
          <w:color w:val="000000"/>
        </w:rPr>
        <w:t>KSADS-PL</w:t>
      </w:r>
      <w:r w:rsidRPr="00A66EB2">
        <w:rPr>
          <w:color w:val="000000"/>
        </w:rPr>
        <w:t>. Yale University.</w:t>
      </w:r>
    </w:p>
    <w:p w14:paraId="4F800230" w14:textId="77777777" w:rsidR="00A66EB2" w:rsidRPr="00A66EB2" w:rsidRDefault="00A66EB2" w:rsidP="00A66EB2">
      <w:pPr>
        <w:pStyle w:val="Bibliography"/>
        <w:rPr>
          <w:color w:val="000000"/>
          <w:lang w:val="nb-NO"/>
        </w:rPr>
      </w:pPr>
      <w:r w:rsidRPr="00A66EB2">
        <w:rPr>
          <w:color w:val="000000"/>
        </w:rPr>
        <w:t xml:space="preserve">Kessler, R. C., </w:t>
      </w:r>
      <w:proofErr w:type="spellStart"/>
      <w:r w:rsidRPr="00A66EB2">
        <w:rPr>
          <w:color w:val="000000"/>
        </w:rPr>
        <w:t>Ruscio</w:t>
      </w:r>
      <w:proofErr w:type="spellEnd"/>
      <w:r w:rsidRPr="00A66EB2">
        <w:rPr>
          <w:color w:val="000000"/>
        </w:rPr>
        <w:t xml:space="preserve">, A. M., Shear, K., &amp; Wittchen, H.-U. (2010). Epidemiology of Anxiety Disorders. In M. B. Stein &amp; T. Steckler (Eds.), </w:t>
      </w:r>
      <w:r w:rsidRPr="00A66EB2">
        <w:rPr>
          <w:i/>
          <w:iCs/>
          <w:color w:val="000000"/>
        </w:rPr>
        <w:t>Behavioral Neurobiology of Anxiety and Its Treatment</w:t>
      </w:r>
      <w:r w:rsidRPr="00A66EB2">
        <w:rPr>
          <w:color w:val="000000"/>
        </w:rPr>
        <w:t xml:space="preserve"> (pp. 21–35). </w:t>
      </w:r>
      <w:r w:rsidRPr="00A66EB2">
        <w:rPr>
          <w:color w:val="000000"/>
          <w:lang w:val="nb-NO"/>
        </w:rPr>
        <w:t>Springer. https://doi.org/10.1007/7854_2009_9</w:t>
      </w:r>
    </w:p>
    <w:p w14:paraId="7CE0BE9B" w14:textId="77777777" w:rsidR="00A66EB2" w:rsidRPr="00A66EB2" w:rsidRDefault="00A66EB2" w:rsidP="00A66EB2">
      <w:pPr>
        <w:pStyle w:val="Bibliography"/>
        <w:rPr>
          <w:color w:val="000000"/>
        </w:rPr>
      </w:pPr>
      <w:proofErr w:type="spellStart"/>
      <w:r w:rsidRPr="00A66EB2">
        <w:rPr>
          <w:color w:val="000000"/>
          <w:lang w:val="nb-NO"/>
        </w:rPr>
        <w:t>Kobak</w:t>
      </w:r>
      <w:proofErr w:type="spellEnd"/>
      <w:r w:rsidRPr="00A66EB2">
        <w:rPr>
          <w:color w:val="000000"/>
          <w:lang w:val="nb-NO"/>
        </w:rPr>
        <w:t xml:space="preserve">, K. A., </w:t>
      </w:r>
      <w:proofErr w:type="spellStart"/>
      <w:r w:rsidRPr="00A66EB2">
        <w:rPr>
          <w:color w:val="000000"/>
          <w:lang w:val="nb-NO"/>
        </w:rPr>
        <w:t>Kratochvil</w:t>
      </w:r>
      <w:proofErr w:type="spellEnd"/>
      <w:r w:rsidRPr="00A66EB2">
        <w:rPr>
          <w:color w:val="000000"/>
          <w:lang w:val="nb-NO"/>
        </w:rPr>
        <w:t xml:space="preserve">, C., Stanger, C., &amp; </w:t>
      </w:r>
      <w:proofErr w:type="spellStart"/>
      <w:r w:rsidRPr="00A66EB2">
        <w:rPr>
          <w:color w:val="000000"/>
          <w:lang w:val="nb-NO"/>
        </w:rPr>
        <w:t>Kaufman</w:t>
      </w:r>
      <w:proofErr w:type="spellEnd"/>
      <w:r w:rsidRPr="00A66EB2">
        <w:rPr>
          <w:color w:val="000000"/>
          <w:lang w:val="nb-NO"/>
        </w:rPr>
        <w:t xml:space="preserve">, J. (2013). </w:t>
      </w:r>
      <w:r w:rsidRPr="00A66EB2">
        <w:rPr>
          <w:color w:val="000000"/>
        </w:rPr>
        <w:t xml:space="preserve">Computerized screening of comorbidity in adolescents with substance or psychiatric disorders. </w:t>
      </w:r>
      <w:r w:rsidRPr="00A66EB2">
        <w:rPr>
          <w:i/>
          <w:iCs/>
          <w:color w:val="000000"/>
        </w:rPr>
        <w:t xml:space="preserve">Anxiety Disorders and </w:t>
      </w:r>
      <w:proofErr w:type="gramStart"/>
      <w:r w:rsidRPr="00A66EB2">
        <w:rPr>
          <w:i/>
          <w:iCs/>
          <w:color w:val="000000"/>
        </w:rPr>
        <w:t>Depression.(</w:t>
      </w:r>
      <w:proofErr w:type="gramEnd"/>
      <w:r w:rsidRPr="00A66EB2">
        <w:rPr>
          <w:i/>
          <w:iCs/>
          <w:color w:val="000000"/>
        </w:rPr>
        <w:t xml:space="preserve">La </w:t>
      </w:r>
      <w:proofErr w:type="spellStart"/>
      <w:r w:rsidRPr="00A66EB2">
        <w:rPr>
          <w:i/>
          <w:iCs/>
          <w:color w:val="000000"/>
        </w:rPr>
        <w:t>Jolaa</w:t>
      </w:r>
      <w:proofErr w:type="spellEnd"/>
      <w:r w:rsidRPr="00A66EB2">
        <w:rPr>
          <w:i/>
          <w:iCs/>
          <w:color w:val="000000"/>
        </w:rPr>
        <w:t>, CA)</w:t>
      </w:r>
      <w:r w:rsidRPr="00A66EB2">
        <w:rPr>
          <w:color w:val="000000"/>
        </w:rPr>
        <w:t>.</w:t>
      </w:r>
    </w:p>
    <w:p w14:paraId="54FD31F9" w14:textId="77777777" w:rsidR="00A66EB2" w:rsidRPr="00A66EB2" w:rsidRDefault="00A66EB2" w:rsidP="00A66EB2">
      <w:pPr>
        <w:pStyle w:val="Bibliography"/>
        <w:rPr>
          <w:color w:val="000000"/>
        </w:rPr>
      </w:pPr>
      <w:r w:rsidRPr="00A66EB2">
        <w:rPr>
          <w:color w:val="000000"/>
        </w:rPr>
        <w:t xml:space="preserve">Kobak, K., &amp; Kaufman, J. (2015). </w:t>
      </w:r>
      <w:proofErr w:type="spellStart"/>
      <w:r w:rsidRPr="00A66EB2">
        <w:rPr>
          <w:color w:val="000000"/>
        </w:rPr>
        <w:t>Ksads</w:t>
      </w:r>
      <w:proofErr w:type="spellEnd"/>
      <w:r w:rsidRPr="00A66EB2">
        <w:rPr>
          <w:color w:val="000000"/>
        </w:rPr>
        <w:t xml:space="preserve">-comp. </w:t>
      </w:r>
      <w:r w:rsidRPr="00A66EB2">
        <w:rPr>
          <w:i/>
          <w:iCs/>
          <w:color w:val="000000"/>
        </w:rPr>
        <w:t>Center for Telepsychology, Madison, WI</w:t>
      </w:r>
      <w:r w:rsidRPr="00A66EB2">
        <w:rPr>
          <w:color w:val="000000"/>
        </w:rPr>
        <w:t>.</w:t>
      </w:r>
    </w:p>
    <w:p w14:paraId="10730C6E" w14:textId="77777777" w:rsidR="00A66EB2" w:rsidRPr="00A66EB2" w:rsidRDefault="00A66EB2" w:rsidP="00A66EB2">
      <w:pPr>
        <w:pStyle w:val="Bibliography"/>
        <w:rPr>
          <w:color w:val="000000"/>
        </w:rPr>
      </w:pPr>
      <w:proofErr w:type="spellStart"/>
      <w:r w:rsidRPr="00A66EB2">
        <w:rPr>
          <w:color w:val="000000"/>
          <w:lang w:val="nb-NO"/>
        </w:rPr>
        <w:t>Koen</w:t>
      </w:r>
      <w:proofErr w:type="spellEnd"/>
      <w:r w:rsidRPr="00A66EB2">
        <w:rPr>
          <w:color w:val="000000"/>
          <w:lang w:val="nb-NO"/>
        </w:rPr>
        <w:t xml:space="preserve">, N., &amp; Stein, D. J. (2011). </w:t>
      </w:r>
      <w:r w:rsidRPr="00A66EB2">
        <w:rPr>
          <w:color w:val="000000"/>
        </w:rPr>
        <w:t xml:space="preserve">Pharmacotherapy of anxiety disorders: A critical review. </w:t>
      </w:r>
      <w:r w:rsidRPr="00A66EB2">
        <w:rPr>
          <w:i/>
          <w:iCs/>
          <w:color w:val="000000"/>
        </w:rPr>
        <w:t>Dialogues in Clinical Neuroscience</w:t>
      </w:r>
      <w:r w:rsidRPr="00A66EB2">
        <w:rPr>
          <w:color w:val="000000"/>
        </w:rPr>
        <w:t xml:space="preserve">, </w:t>
      </w:r>
      <w:r w:rsidRPr="00A66EB2">
        <w:rPr>
          <w:i/>
          <w:iCs/>
          <w:color w:val="000000"/>
        </w:rPr>
        <w:t>13</w:t>
      </w:r>
      <w:r w:rsidRPr="00A66EB2">
        <w:rPr>
          <w:color w:val="000000"/>
        </w:rPr>
        <w:t>(4), 423–437. https://doi.org/10.31887/DCNS.2011.13.4/nkoen</w:t>
      </w:r>
    </w:p>
    <w:p w14:paraId="28B08BD0" w14:textId="77777777" w:rsidR="00A66EB2" w:rsidRPr="00A66EB2" w:rsidRDefault="00A66EB2" w:rsidP="00A66EB2">
      <w:pPr>
        <w:pStyle w:val="Bibliography"/>
        <w:rPr>
          <w:color w:val="000000"/>
        </w:rPr>
      </w:pPr>
      <w:r w:rsidRPr="00A66EB2">
        <w:rPr>
          <w:color w:val="000000"/>
        </w:rPr>
        <w:t xml:space="preserve">Leon, A. C., </w:t>
      </w:r>
      <w:proofErr w:type="spellStart"/>
      <w:r w:rsidRPr="00A66EB2">
        <w:rPr>
          <w:color w:val="000000"/>
        </w:rPr>
        <w:t>Portera</w:t>
      </w:r>
      <w:proofErr w:type="spellEnd"/>
      <w:r w:rsidRPr="00A66EB2">
        <w:rPr>
          <w:color w:val="000000"/>
        </w:rPr>
        <w:t xml:space="preserve">, L., &amp; Weissman, M. M. (1995). The Social Costs of Anxiety Disorders. </w:t>
      </w:r>
      <w:r w:rsidRPr="00A66EB2">
        <w:rPr>
          <w:i/>
          <w:iCs/>
          <w:color w:val="000000"/>
        </w:rPr>
        <w:t>British Journal of Psychiatry</w:t>
      </w:r>
      <w:r w:rsidRPr="00A66EB2">
        <w:rPr>
          <w:color w:val="000000"/>
        </w:rPr>
        <w:t xml:space="preserve">, </w:t>
      </w:r>
      <w:r w:rsidRPr="00A66EB2">
        <w:rPr>
          <w:i/>
          <w:iCs/>
          <w:color w:val="000000"/>
        </w:rPr>
        <w:t>166</w:t>
      </w:r>
      <w:r w:rsidRPr="00A66EB2">
        <w:rPr>
          <w:color w:val="000000"/>
        </w:rPr>
        <w:t>(S27), 19–22. https://doi.org/10.1192/S0007125000293355</w:t>
      </w:r>
    </w:p>
    <w:p w14:paraId="17F078B7" w14:textId="77777777" w:rsidR="00A66EB2" w:rsidRPr="00A66EB2" w:rsidRDefault="00A66EB2" w:rsidP="00A66EB2">
      <w:pPr>
        <w:pStyle w:val="Bibliography"/>
        <w:rPr>
          <w:color w:val="000000"/>
        </w:rPr>
      </w:pPr>
      <w:r w:rsidRPr="00A66EB2">
        <w:rPr>
          <w:color w:val="000000"/>
        </w:rPr>
        <w:lastRenderedPageBreak/>
        <w:t xml:space="preserve">Loeb, D. F., Bayliss, E. A., Binswanger, I. A., </w:t>
      </w:r>
      <w:proofErr w:type="spellStart"/>
      <w:r w:rsidRPr="00A66EB2">
        <w:rPr>
          <w:color w:val="000000"/>
        </w:rPr>
        <w:t>Candrian</w:t>
      </w:r>
      <w:proofErr w:type="spellEnd"/>
      <w:r w:rsidRPr="00A66EB2">
        <w:rPr>
          <w:color w:val="000000"/>
        </w:rPr>
        <w:t xml:space="preserve">, C., &amp; </w:t>
      </w:r>
      <w:proofErr w:type="spellStart"/>
      <w:r w:rsidRPr="00A66EB2">
        <w:rPr>
          <w:color w:val="000000"/>
        </w:rPr>
        <w:t>deGruy</w:t>
      </w:r>
      <w:proofErr w:type="spellEnd"/>
      <w:r w:rsidRPr="00A66EB2">
        <w:rPr>
          <w:color w:val="000000"/>
        </w:rPr>
        <w:t xml:space="preserve">, F. V. (2012). Primary Care Physician Perceptions on Caring for Complex Patients with Medical and Mental Illness. </w:t>
      </w:r>
      <w:r w:rsidRPr="00A66EB2">
        <w:rPr>
          <w:i/>
          <w:iCs/>
          <w:color w:val="000000"/>
        </w:rPr>
        <w:t>Journal of General Internal Medicine</w:t>
      </w:r>
      <w:r w:rsidRPr="00A66EB2">
        <w:rPr>
          <w:color w:val="000000"/>
        </w:rPr>
        <w:t xml:space="preserve">, </w:t>
      </w:r>
      <w:r w:rsidRPr="00A66EB2">
        <w:rPr>
          <w:i/>
          <w:iCs/>
          <w:color w:val="000000"/>
        </w:rPr>
        <w:t>27</w:t>
      </w:r>
      <w:r w:rsidRPr="00A66EB2">
        <w:rPr>
          <w:color w:val="000000"/>
        </w:rPr>
        <w:t>(8), 945–952. https://doi.org/10.1007/s11606-012-2005-9</w:t>
      </w:r>
    </w:p>
    <w:p w14:paraId="7F53C943" w14:textId="77777777" w:rsidR="00A66EB2" w:rsidRPr="00A66EB2" w:rsidRDefault="00A66EB2" w:rsidP="00A66EB2">
      <w:pPr>
        <w:pStyle w:val="Bibliography"/>
        <w:rPr>
          <w:color w:val="000000"/>
        </w:rPr>
      </w:pPr>
      <w:proofErr w:type="spellStart"/>
      <w:r w:rsidRPr="00A66EB2">
        <w:rPr>
          <w:color w:val="000000"/>
        </w:rPr>
        <w:t>Luthar</w:t>
      </w:r>
      <w:proofErr w:type="spellEnd"/>
      <w:r w:rsidRPr="00A66EB2">
        <w:rPr>
          <w:color w:val="000000"/>
        </w:rPr>
        <w:t xml:space="preserve">, S. S., Cicchetti, D., &amp; Becker, B. (2000). The Construct of Resilience: A Critical Evaluation and Guidelines for Future Work. </w:t>
      </w:r>
      <w:r w:rsidRPr="00A66EB2">
        <w:rPr>
          <w:i/>
          <w:iCs/>
          <w:color w:val="000000"/>
        </w:rPr>
        <w:t>Child Development</w:t>
      </w:r>
      <w:r w:rsidRPr="00A66EB2">
        <w:rPr>
          <w:color w:val="000000"/>
        </w:rPr>
        <w:t xml:space="preserve">, </w:t>
      </w:r>
      <w:r w:rsidRPr="00A66EB2">
        <w:rPr>
          <w:i/>
          <w:iCs/>
          <w:color w:val="000000"/>
        </w:rPr>
        <w:t>71</w:t>
      </w:r>
      <w:r w:rsidRPr="00A66EB2">
        <w:rPr>
          <w:color w:val="000000"/>
        </w:rPr>
        <w:t>(3), 543–562. https://doi.org/10.1111/1467-8624.00164</w:t>
      </w:r>
    </w:p>
    <w:p w14:paraId="4C5D05CD" w14:textId="77777777" w:rsidR="00A66EB2" w:rsidRPr="00A66EB2" w:rsidRDefault="00A66EB2" w:rsidP="00A66EB2">
      <w:pPr>
        <w:pStyle w:val="Bibliography"/>
        <w:rPr>
          <w:color w:val="000000"/>
        </w:rPr>
      </w:pPr>
      <w:r w:rsidRPr="00A66EB2">
        <w:rPr>
          <w:color w:val="000000"/>
        </w:rPr>
        <w:t xml:space="preserve">Martin, J. L., Ford, C. B., Dyer-Friedman, J., Tang, J., &amp; Huffman, L. C. (2004). Patterns of agreement between parent and child ratings of emotional and behavioral problems in an outpatient clinical setting: When children endorse more problems. </w:t>
      </w:r>
      <w:r w:rsidRPr="00A66EB2">
        <w:rPr>
          <w:i/>
          <w:iCs/>
          <w:color w:val="000000"/>
        </w:rPr>
        <w:t xml:space="preserve">J Dev </w:t>
      </w:r>
      <w:proofErr w:type="spellStart"/>
      <w:r w:rsidRPr="00A66EB2">
        <w:rPr>
          <w:i/>
          <w:iCs/>
          <w:color w:val="000000"/>
        </w:rPr>
        <w:t>Behav</w:t>
      </w:r>
      <w:proofErr w:type="spellEnd"/>
      <w:r w:rsidRPr="00A66EB2">
        <w:rPr>
          <w:i/>
          <w:iCs/>
          <w:color w:val="000000"/>
        </w:rPr>
        <w:t xml:space="preserve"> </w:t>
      </w:r>
      <w:proofErr w:type="spellStart"/>
      <w:r w:rsidRPr="00A66EB2">
        <w:rPr>
          <w:i/>
          <w:iCs/>
          <w:color w:val="000000"/>
        </w:rPr>
        <w:t>Pediatr</w:t>
      </w:r>
      <w:proofErr w:type="spellEnd"/>
      <w:r w:rsidRPr="00A66EB2">
        <w:rPr>
          <w:color w:val="000000"/>
        </w:rPr>
        <w:t xml:space="preserve">, </w:t>
      </w:r>
      <w:r w:rsidRPr="00A66EB2">
        <w:rPr>
          <w:i/>
          <w:iCs/>
          <w:color w:val="000000"/>
        </w:rPr>
        <w:t>25</w:t>
      </w:r>
      <w:r w:rsidRPr="00A66EB2">
        <w:rPr>
          <w:color w:val="000000"/>
        </w:rPr>
        <w:t>(3), 150–155. https://doi.org/10.1097/00004703-200406000-00002</w:t>
      </w:r>
    </w:p>
    <w:p w14:paraId="27B46A0F" w14:textId="77777777" w:rsidR="00A66EB2" w:rsidRPr="00A66EB2" w:rsidRDefault="00A66EB2" w:rsidP="00A66EB2">
      <w:pPr>
        <w:pStyle w:val="Bibliography"/>
        <w:rPr>
          <w:color w:val="000000"/>
        </w:rPr>
      </w:pPr>
      <w:proofErr w:type="spellStart"/>
      <w:r w:rsidRPr="00A66EB2">
        <w:rPr>
          <w:color w:val="000000"/>
        </w:rPr>
        <w:t>Merikangas</w:t>
      </w:r>
      <w:proofErr w:type="spellEnd"/>
      <w:r w:rsidRPr="00A66EB2">
        <w:rPr>
          <w:color w:val="000000"/>
        </w:rPr>
        <w:t xml:space="preserve">, K. R., Ph. D., He, J., M. Sc, Burstein, M., Ph. D., Swanson, S. A., Sc. M., </w:t>
      </w:r>
      <w:proofErr w:type="spellStart"/>
      <w:r w:rsidRPr="00A66EB2">
        <w:rPr>
          <w:color w:val="000000"/>
        </w:rPr>
        <w:t>Avenevoli</w:t>
      </w:r>
      <w:proofErr w:type="spellEnd"/>
      <w:r w:rsidRPr="00A66EB2">
        <w:rPr>
          <w:color w:val="000000"/>
        </w:rPr>
        <w:t xml:space="preserve">, S., Ph. D., Cui, L., M. Sc, </w:t>
      </w:r>
      <w:proofErr w:type="spellStart"/>
      <w:r w:rsidRPr="00A66EB2">
        <w:rPr>
          <w:color w:val="000000"/>
        </w:rPr>
        <w:t>Benjet</w:t>
      </w:r>
      <w:proofErr w:type="spellEnd"/>
      <w:r w:rsidRPr="00A66EB2">
        <w:rPr>
          <w:color w:val="000000"/>
        </w:rPr>
        <w:t xml:space="preserve">, C., Ph. D., Georgiades, K., Ph. D., &amp; </w:t>
      </w:r>
      <w:proofErr w:type="spellStart"/>
      <w:r w:rsidRPr="00A66EB2">
        <w:rPr>
          <w:color w:val="000000"/>
        </w:rPr>
        <w:t>Swendsen</w:t>
      </w:r>
      <w:proofErr w:type="spellEnd"/>
      <w:r w:rsidRPr="00A66EB2">
        <w:rPr>
          <w:color w:val="000000"/>
        </w:rPr>
        <w:t xml:space="preserve">, J., Ph. D. (2010). Lifetime Prevalence of Mental Disorders in U.S. Adolescents: Results from the National Comorbidity Survey Replication–Adolescent Supplement (NCS-A). </w:t>
      </w:r>
      <w:r w:rsidRPr="00A66EB2">
        <w:rPr>
          <w:i/>
          <w:iCs/>
          <w:color w:val="000000"/>
        </w:rPr>
        <w:t xml:space="preserve">J Am </w:t>
      </w:r>
      <w:proofErr w:type="spellStart"/>
      <w:r w:rsidRPr="00A66EB2">
        <w:rPr>
          <w:i/>
          <w:iCs/>
          <w:color w:val="000000"/>
        </w:rPr>
        <w:t>Acad</w:t>
      </w:r>
      <w:proofErr w:type="spellEnd"/>
      <w:r w:rsidRPr="00A66EB2">
        <w:rPr>
          <w:i/>
          <w:iCs/>
          <w:color w:val="000000"/>
        </w:rPr>
        <w:t xml:space="preserve"> Child </w:t>
      </w:r>
      <w:proofErr w:type="spellStart"/>
      <w:r w:rsidRPr="00A66EB2">
        <w:rPr>
          <w:i/>
          <w:iCs/>
          <w:color w:val="000000"/>
        </w:rPr>
        <w:t>Adolesc</w:t>
      </w:r>
      <w:proofErr w:type="spellEnd"/>
      <w:r w:rsidRPr="00A66EB2">
        <w:rPr>
          <w:i/>
          <w:iCs/>
          <w:color w:val="000000"/>
        </w:rPr>
        <w:t xml:space="preserve"> Psychiatry</w:t>
      </w:r>
      <w:r w:rsidRPr="00A66EB2">
        <w:rPr>
          <w:color w:val="000000"/>
        </w:rPr>
        <w:t xml:space="preserve">, </w:t>
      </w:r>
      <w:r w:rsidRPr="00A66EB2">
        <w:rPr>
          <w:i/>
          <w:iCs/>
          <w:color w:val="000000"/>
        </w:rPr>
        <w:t>49</w:t>
      </w:r>
      <w:r w:rsidRPr="00A66EB2">
        <w:rPr>
          <w:color w:val="000000"/>
        </w:rPr>
        <w:t>(10), 980–989. https://doi.org/10.1016/j.jaac.2010.05.017</w:t>
      </w:r>
    </w:p>
    <w:p w14:paraId="4F557A18" w14:textId="77777777" w:rsidR="00A66EB2" w:rsidRPr="00A66EB2" w:rsidRDefault="00A66EB2" w:rsidP="00A66EB2">
      <w:pPr>
        <w:pStyle w:val="Bibliography"/>
        <w:rPr>
          <w:color w:val="000000"/>
        </w:rPr>
      </w:pPr>
      <w:proofErr w:type="spellStart"/>
      <w:r w:rsidRPr="00A66EB2">
        <w:rPr>
          <w:color w:val="000000"/>
        </w:rPr>
        <w:t>Radua</w:t>
      </w:r>
      <w:proofErr w:type="spellEnd"/>
      <w:r w:rsidRPr="00A66EB2">
        <w:rPr>
          <w:color w:val="000000"/>
        </w:rPr>
        <w:t xml:space="preserve">, J., van den Heuvel, O. A., </w:t>
      </w:r>
      <w:proofErr w:type="spellStart"/>
      <w:r w:rsidRPr="00A66EB2">
        <w:rPr>
          <w:color w:val="000000"/>
        </w:rPr>
        <w:t>Surguladze</w:t>
      </w:r>
      <w:proofErr w:type="spellEnd"/>
      <w:r w:rsidRPr="00A66EB2">
        <w:rPr>
          <w:color w:val="000000"/>
        </w:rPr>
        <w:t xml:space="preserve">, S., &amp; </w:t>
      </w:r>
      <w:proofErr w:type="spellStart"/>
      <w:r w:rsidRPr="00A66EB2">
        <w:rPr>
          <w:color w:val="000000"/>
        </w:rPr>
        <w:t>Mataix</w:t>
      </w:r>
      <w:proofErr w:type="spellEnd"/>
      <w:r w:rsidRPr="00A66EB2">
        <w:rPr>
          <w:color w:val="000000"/>
        </w:rPr>
        <w:t xml:space="preserve">-Cols, D. (2010). Meta-analytical Comparison of Voxel-Based Morphometry Studies in Obsessive-Compulsive Disorder vs Other Anxiety Disorders. </w:t>
      </w:r>
      <w:r w:rsidRPr="00A66EB2">
        <w:rPr>
          <w:i/>
          <w:iCs/>
          <w:color w:val="000000"/>
        </w:rPr>
        <w:t>Arch Gen Psychiatry</w:t>
      </w:r>
      <w:r w:rsidRPr="00A66EB2">
        <w:rPr>
          <w:color w:val="000000"/>
        </w:rPr>
        <w:t xml:space="preserve">, </w:t>
      </w:r>
      <w:r w:rsidRPr="00A66EB2">
        <w:rPr>
          <w:i/>
          <w:iCs/>
          <w:color w:val="000000"/>
        </w:rPr>
        <w:t>67</w:t>
      </w:r>
      <w:r w:rsidRPr="00A66EB2">
        <w:rPr>
          <w:color w:val="000000"/>
        </w:rPr>
        <w:t>(7), 701–711. https://doi.org/10.1001/archgenpsychiatry.2010.70</w:t>
      </w:r>
    </w:p>
    <w:p w14:paraId="1D39D0D9" w14:textId="77777777" w:rsidR="00A66EB2" w:rsidRPr="00A66EB2" w:rsidRDefault="00A66EB2" w:rsidP="00A66EB2">
      <w:pPr>
        <w:pStyle w:val="Bibliography"/>
        <w:rPr>
          <w:color w:val="000000"/>
        </w:rPr>
      </w:pPr>
      <w:proofErr w:type="spellStart"/>
      <w:r w:rsidRPr="00A66EB2">
        <w:rPr>
          <w:color w:val="000000"/>
        </w:rPr>
        <w:t>Sanislow</w:t>
      </w:r>
      <w:proofErr w:type="spellEnd"/>
      <w:r w:rsidRPr="00A66EB2">
        <w:rPr>
          <w:color w:val="000000"/>
        </w:rPr>
        <w:t xml:space="preserve">, C. A., Pine, D. S., Quinn, K. J., Kozak, M. J., Garvey, M. A., </w:t>
      </w:r>
      <w:proofErr w:type="spellStart"/>
      <w:r w:rsidRPr="00A66EB2">
        <w:rPr>
          <w:color w:val="000000"/>
        </w:rPr>
        <w:t>Heinssen</w:t>
      </w:r>
      <w:proofErr w:type="spellEnd"/>
      <w:r w:rsidRPr="00A66EB2">
        <w:rPr>
          <w:color w:val="000000"/>
        </w:rPr>
        <w:t xml:space="preserve">, R. K., Wang, P. S.-E., &amp; Cuthbert, B. N. (2010). Developing constructs for psychopathology research: </w:t>
      </w:r>
      <w:r w:rsidRPr="00A66EB2">
        <w:rPr>
          <w:color w:val="000000"/>
        </w:rPr>
        <w:lastRenderedPageBreak/>
        <w:t xml:space="preserve">Research domain criteria. </w:t>
      </w:r>
      <w:r w:rsidRPr="00A66EB2">
        <w:rPr>
          <w:i/>
          <w:iCs/>
          <w:color w:val="000000"/>
        </w:rPr>
        <w:t>Journal of Abnormal Psychology</w:t>
      </w:r>
      <w:r w:rsidRPr="00A66EB2">
        <w:rPr>
          <w:color w:val="000000"/>
        </w:rPr>
        <w:t xml:space="preserve">, </w:t>
      </w:r>
      <w:r w:rsidRPr="00A66EB2">
        <w:rPr>
          <w:i/>
          <w:iCs/>
          <w:color w:val="000000"/>
        </w:rPr>
        <w:t>119</w:t>
      </w:r>
      <w:r w:rsidRPr="00A66EB2">
        <w:rPr>
          <w:color w:val="000000"/>
        </w:rPr>
        <w:t>(4), 631–639. https://doi.org/10.1037/a0020909</w:t>
      </w:r>
    </w:p>
    <w:p w14:paraId="4E0DDE69" w14:textId="77777777" w:rsidR="00A66EB2" w:rsidRPr="00A66EB2" w:rsidRDefault="00A66EB2" w:rsidP="00A66EB2">
      <w:pPr>
        <w:pStyle w:val="Bibliography"/>
        <w:rPr>
          <w:color w:val="000000"/>
        </w:rPr>
      </w:pPr>
      <w:proofErr w:type="spellStart"/>
      <w:r w:rsidRPr="00A66EB2">
        <w:rPr>
          <w:color w:val="000000"/>
          <w:lang w:val="nb-NO"/>
        </w:rPr>
        <w:t>Silverman</w:t>
      </w:r>
      <w:proofErr w:type="spellEnd"/>
      <w:r w:rsidRPr="00A66EB2">
        <w:rPr>
          <w:color w:val="000000"/>
          <w:lang w:val="nb-NO"/>
        </w:rPr>
        <w:t xml:space="preserve">, W. K., &amp; Eisen, A. R. (1992). </w:t>
      </w:r>
      <w:r w:rsidRPr="00A66EB2">
        <w:rPr>
          <w:color w:val="000000"/>
        </w:rPr>
        <w:t xml:space="preserve">Age Differences in the Reliability of Parent and Child Reports of Child Anxious Symptomatology Using a Structured Interview. </w:t>
      </w:r>
      <w:r w:rsidRPr="00A66EB2">
        <w:rPr>
          <w:i/>
          <w:iCs/>
          <w:color w:val="000000"/>
        </w:rPr>
        <w:t>Journal of the American Academy of Child &amp; Adolescent Psychiatry</w:t>
      </w:r>
      <w:r w:rsidRPr="00A66EB2">
        <w:rPr>
          <w:color w:val="000000"/>
        </w:rPr>
        <w:t xml:space="preserve">, </w:t>
      </w:r>
      <w:r w:rsidRPr="00A66EB2">
        <w:rPr>
          <w:i/>
          <w:iCs/>
          <w:color w:val="000000"/>
        </w:rPr>
        <w:t>31</w:t>
      </w:r>
      <w:r w:rsidRPr="00A66EB2">
        <w:rPr>
          <w:color w:val="000000"/>
        </w:rPr>
        <w:t>(1), 117–124. https://doi.org/10.1097/00004583-199201000-00018</w:t>
      </w:r>
    </w:p>
    <w:p w14:paraId="051A4A39" w14:textId="77777777" w:rsidR="00A66EB2" w:rsidRPr="00A66EB2" w:rsidRDefault="00A66EB2" w:rsidP="00A66EB2">
      <w:pPr>
        <w:pStyle w:val="Bibliography"/>
        <w:rPr>
          <w:color w:val="000000"/>
        </w:rPr>
      </w:pPr>
      <w:r w:rsidRPr="00A66EB2">
        <w:rPr>
          <w:color w:val="000000"/>
          <w:lang w:val="nb-NO"/>
        </w:rPr>
        <w:t xml:space="preserve">Stover, P. J., </w:t>
      </w:r>
      <w:proofErr w:type="spellStart"/>
      <w:r w:rsidRPr="00A66EB2">
        <w:rPr>
          <w:color w:val="000000"/>
          <w:lang w:val="nb-NO"/>
        </w:rPr>
        <w:t>Harlan</w:t>
      </w:r>
      <w:proofErr w:type="spellEnd"/>
      <w:r w:rsidRPr="00A66EB2">
        <w:rPr>
          <w:color w:val="000000"/>
          <w:lang w:val="nb-NO"/>
        </w:rPr>
        <w:t xml:space="preserve">, W. R., Hammond, J. A., </w:t>
      </w:r>
      <w:proofErr w:type="spellStart"/>
      <w:r w:rsidRPr="00A66EB2">
        <w:rPr>
          <w:color w:val="000000"/>
          <w:lang w:val="nb-NO"/>
        </w:rPr>
        <w:t>Hendershot</w:t>
      </w:r>
      <w:proofErr w:type="spellEnd"/>
      <w:r w:rsidRPr="00A66EB2">
        <w:rPr>
          <w:color w:val="000000"/>
          <w:lang w:val="nb-NO"/>
        </w:rPr>
        <w:t xml:space="preserve">, T., &amp; Hamilton, C. M. (2010). </w:t>
      </w:r>
      <w:proofErr w:type="spellStart"/>
      <w:r w:rsidRPr="00A66EB2">
        <w:rPr>
          <w:color w:val="000000"/>
        </w:rPr>
        <w:t>PhenX</w:t>
      </w:r>
      <w:proofErr w:type="spellEnd"/>
      <w:r w:rsidRPr="00A66EB2">
        <w:rPr>
          <w:color w:val="000000"/>
        </w:rPr>
        <w:t xml:space="preserve">: a toolkit for interdisciplinary genetics research. </w:t>
      </w:r>
      <w:r w:rsidRPr="00A66EB2">
        <w:rPr>
          <w:i/>
          <w:iCs/>
          <w:color w:val="000000"/>
        </w:rPr>
        <w:t>Current Opinion in Lipidology</w:t>
      </w:r>
      <w:r w:rsidRPr="00A66EB2">
        <w:rPr>
          <w:color w:val="000000"/>
        </w:rPr>
        <w:t xml:space="preserve">, </w:t>
      </w:r>
      <w:r w:rsidRPr="00A66EB2">
        <w:rPr>
          <w:i/>
          <w:iCs/>
          <w:color w:val="000000"/>
        </w:rPr>
        <w:t>21</w:t>
      </w:r>
      <w:r w:rsidRPr="00A66EB2">
        <w:rPr>
          <w:color w:val="000000"/>
        </w:rPr>
        <w:t>(2), 136–140.</w:t>
      </w:r>
    </w:p>
    <w:p w14:paraId="5C9E2BA5" w14:textId="77777777" w:rsidR="00A66EB2" w:rsidRPr="00A66EB2" w:rsidRDefault="00A66EB2" w:rsidP="00A66EB2">
      <w:pPr>
        <w:pStyle w:val="Bibliography"/>
        <w:rPr>
          <w:color w:val="000000"/>
        </w:rPr>
      </w:pPr>
      <w:r w:rsidRPr="00A66EB2">
        <w:rPr>
          <w:color w:val="000000"/>
        </w:rPr>
        <w:t xml:space="preserve">Sylvester, C. M., </w:t>
      </w:r>
      <w:proofErr w:type="spellStart"/>
      <w:r w:rsidRPr="00A66EB2">
        <w:rPr>
          <w:color w:val="000000"/>
        </w:rPr>
        <w:t>Corbetta</w:t>
      </w:r>
      <w:proofErr w:type="spellEnd"/>
      <w:r w:rsidRPr="00A66EB2">
        <w:rPr>
          <w:color w:val="000000"/>
        </w:rPr>
        <w:t xml:space="preserve">, M., </w:t>
      </w:r>
      <w:proofErr w:type="spellStart"/>
      <w:r w:rsidRPr="00A66EB2">
        <w:rPr>
          <w:color w:val="000000"/>
        </w:rPr>
        <w:t>Raichle</w:t>
      </w:r>
      <w:proofErr w:type="spellEnd"/>
      <w:r w:rsidRPr="00A66EB2">
        <w:rPr>
          <w:color w:val="000000"/>
        </w:rPr>
        <w:t xml:space="preserve">, M. E., </w:t>
      </w:r>
      <w:proofErr w:type="spellStart"/>
      <w:r w:rsidRPr="00A66EB2">
        <w:rPr>
          <w:color w:val="000000"/>
        </w:rPr>
        <w:t>Rodebaugh</w:t>
      </w:r>
      <w:proofErr w:type="spellEnd"/>
      <w:r w:rsidRPr="00A66EB2">
        <w:rPr>
          <w:color w:val="000000"/>
        </w:rPr>
        <w:t xml:space="preserve">, T. L., </w:t>
      </w:r>
      <w:proofErr w:type="spellStart"/>
      <w:r w:rsidRPr="00A66EB2">
        <w:rPr>
          <w:color w:val="000000"/>
        </w:rPr>
        <w:t>Schlaggar</w:t>
      </w:r>
      <w:proofErr w:type="spellEnd"/>
      <w:r w:rsidRPr="00A66EB2">
        <w:rPr>
          <w:color w:val="000000"/>
        </w:rPr>
        <w:t xml:space="preserve">, B. L., </w:t>
      </w:r>
      <w:proofErr w:type="spellStart"/>
      <w:r w:rsidRPr="00A66EB2">
        <w:rPr>
          <w:color w:val="000000"/>
        </w:rPr>
        <w:t>Sheline</w:t>
      </w:r>
      <w:proofErr w:type="spellEnd"/>
      <w:r w:rsidRPr="00A66EB2">
        <w:rPr>
          <w:color w:val="000000"/>
        </w:rPr>
        <w:t xml:space="preserve">, Y. I., </w:t>
      </w:r>
      <w:proofErr w:type="spellStart"/>
      <w:r w:rsidRPr="00A66EB2">
        <w:rPr>
          <w:color w:val="000000"/>
        </w:rPr>
        <w:t>Zorumski</w:t>
      </w:r>
      <w:proofErr w:type="spellEnd"/>
      <w:r w:rsidRPr="00A66EB2">
        <w:rPr>
          <w:color w:val="000000"/>
        </w:rPr>
        <w:t xml:space="preserve">, C. F., &amp; </w:t>
      </w:r>
      <w:proofErr w:type="spellStart"/>
      <w:r w:rsidRPr="00A66EB2">
        <w:rPr>
          <w:color w:val="000000"/>
        </w:rPr>
        <w:t>Lenze</w:t>
      </w:r>
      <w:proofErr w:type="spellEnd"/>
      <w:r w:rsidRPr="00A66EB2">
        <w:rPr>
          <w:color w:val="000000"/>
        </w:rPr>
        <w:t xml:space="preserve">, E. J. (2012). Functional network dysfunction in anxiety and anxiety disorders. </w:t>
      </w:r>
      <w:r w:rsidRPr="00A66EB2">
        <w:rPr>
          <w:i/>
          <w:iCs/>
          <w:color w:val="000000"/>
        </w:rPr>
        <w:t>Trends in Neurosciences</w:t>
      </w:r>
      <w:r w:rsidRPr="00A66EB2">
        <w:rPr>
          <w:color w:val="000000"/>
        </w:rPr>
        <w:t xml:space="preserve">, </w:t>
      </w:r>
      <w:r w:rsidRPr="00A66EB2">
        <w:rPr>
          <w:i/>
          <w:iCs/>
          <w:color w:val="000000"/>
        </w:rPr>
        <w:t>35</w:t>
      </w:r>
      <w:r w:rsidRPr="00A66EB2">
        <w:rPr>
          <w:color w:val="000000"/>
        </w:rPr>
        <w:t>(9), 527–535. https://doi.org/10.1016/j.tins.2012.04.012</w:t>
      </w:r>
    </w:p>
    <w:p w14:paraId="3AFD48F6" w14:textId="77777777" w:rsidR="00A66EB2" w:rsidRPr="00A66EB2" w:rsidRDefault="00A66EB2" w:rsidP="00A66EB2">
      <w:pPr>
        <w:pStyle w:val="Bibliography"/>
        <w:rPr>
          <w:color w:val="000000"/>
        </w:rPr>
      </w:pPr>
      <w:r w:rsidRPr="00A66EB2">
        <w:rPr>
          <w:color w:val="000000"/>
        </w:rPr>
        <w:t xml:space="preserve">Yoo, C., &amp; Kim, M. J. (2023). Topographical similarity of cortical thickness represents generalized anxiety symptoms in adolescence. </w:t>
      </w:r>
      <w:r w:rsidRPr="00A66EB2">
        <w:rPr>
          <w:i/>
          <w:iCs/>
          <w:color w:val="000000"/>
        </w:rPr>
        <w:t>Brain Res Bull</w:t>
      </w:r>
      <w:r w:rsidRPr="00A66EB2">
        <w:rPr>
          <w:color w:val="000000"/>
        </w:rPr>
        <w:t xml:space="preserve">, </w:t>
      </w:r>
      <w:r w:rsidRPr="00A66EB2">
        <w:rPr>
          <w:i/>
          <w:iCs/>
          <w:color w:val="000000"/>
        </w:rPr>
        <w:t>202</w:t>
      </w:r>
      <w:r w:rsidRPr="00A66EB2">
        <w:rPr>
          <w:color w:val="000000"/>
        </w:rPr>
        <w:t>, 110728–110728. https://doi.org/10.1016/j.brainresbull.2023.110728</w:t>
      </w:r>
    </w:p>
    <w:p w14:paraId="21E4CE0D" w14:textId="77777777" w:rsidR="00A66EB2" w:rsidRPr="00A66EB2" w:rsidRDefault="00A66EB2" w:rsidP="00A66EB2">
      <w:pPr>
        <w:pStyle w:val="Bibliography"/>
        <w:rPr>
          <w:color w:val="000000"/>
        </w:rPr>
      </w:pPr>
      <w:r w:rsidRPr="00A66EB2">
        <w:rPr>
          <w:color w:val="000000"/>
        </w:rPr>
        <w:t xml:space="preserve">Zhao, Y., Chen, L., Zhang, W., Xiao, Y., Shah, C., Zhu, H., Yuan, M., Sun, H., Yue, Q., Jia, Z., Zhang, W., Kuang, W., Gong, Q., &amp; Lui, S. (2017). Gray Matter Abnormalities in Non-comorbid Medication-naive Patients with Major Depressive Disorder or Social Anxiety Disorder. </w:t>
      </w:r>
      <w:proofErr w:type="spellStart"/>
      <w:r w:rsidRPr="00A66EB2">
        <w:rPr>
          <w:i/>
          <w:iCs/>
          <w:color w:val="000000"/>
        </w:rPr>
        <w:t>EBioMedicine</w:t>
      </w:r>
      <w:proofErr w:type="spellEnd"/>
      <w:r w:rsidRPr="00A66EB2">
        <w:rPr>
          <w:color w:val="000000"/>
        </w:rPr>
        <w:t xml:space="preserve">, </w:t>
      </w:r>
      <w:r w:rsidRPr="00A66EB2">
        <w:rPr>
          <w:i/>
          <w:iCs/>
          <w:color w:val="000000"/>
        </w:rPr>
        <w:t>21</w:t>
      </w:r>
      <w:r w:rsidRPr="00A66EB2">
        <w:rPr>
          <w:color w:val="000000"/>
        </w:rPr>
        <w:t>(C), 228–235. https://doi.org/10.1016/j.ebiom.2017.06.013</w:t>
      </w:r>
    </w:p>
    <w:p w14:paraId="47D85E6C" w14:textId="39B5AB7F" w:rsidR="00B365C7" w:rsidRPr="00E32E04" w:rsidRDefault="00B365C7" w:rsidP="00B365C7">
      <w:pPr>
        <w:rPr>
          <w:color w:val="215E99" w:themeColor="text2" w:themeTint="BF"/>
        </w:rPr>
      </w:pPr>
      <w:r w:rsidRPr="00B365C7">
        <w:rPr>
          <w:color w:val="000000" w:themeColor="text1"/>
        </w:rPr>
        <w:fldChar w:fldCharType="end"/>
      </w:r>
    </w:p>
    <w:sectPr w:rsidR="00B365C7" w:rsidRPr="00E32E0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1D088" w14:textId="77777777" w:rsidR="0009458C" w:rsidRDefault="0009458C" w:rsidP="000314D7">
      <w:r>
        <w:separator/>
      </w:r>
    </w:p>
  </w:endnote>
  <w:endnote w:type="continuationSeparator" w:id="0">
    <w:p w14:paraId="19C4BF2D" w14:textId="77777777" w:rsidR="0009458C" w:rsidRDefault="0009458C"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2F5CB" w14:textId="77777777" w:rsidR="0009458C" w:rsidRDefault="0009458C" w:rsidP="000314D7">
      <w:r>
        <w:separator/>
      </w:r>
    </w:p>
  </w:footnote>
  <w:footnote w:type="continuationSeparator" w:id="0">
    <w:p w14:paraId="187CF63B" w14:textId="77777777" w:rsidR="0009458C" w:rsidRDefault="0009458C" w:rsidP="00031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971D9" w14:textId="571E07DF" w:rsidR="000314D7" w:rsidRDefault="005F5D5D">
    <w:pPr>
      <w:pStyle w:val="Header"/>
    </w:pPr>
    <w:r>
      <w:t>Project description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673051">
    <w:abstractNumId w:val="4"/>
  </w:num>
  <w:num w:numId="2" w16cid:durableId="49116651">
    <w:abstractNumId w:val="6"/>
  </w:num>
  <w:num w:numId="3" w16cid:durableId="917128964">
    <w:abstractNumId w:val="7"/>
  </w:num>
  <w:num w:numId="4" w16cid:durableId="1421178754">
    <w:abstractNumId w:val="5"/>
  </w:num>
  <w:num w:numId="5" w16cid:durableId="466169287">
    <w:abstractNumId w:val="3"/>
  </w:num>
  <w:num w:numId="6" w16cid:durableId="915821295">
    <w:abstractNumId w:val="2"/>
  </w:num>
  <w:num w:numId="7" w16cid:durableId="101146351">
    <w:abstractNumId w:val="1"/>
  </w:num>
  <w:num w:numId="8" w16cid:durableId="7571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20E0A"/>
    <w:rsid w:val="000314D7"/>
    <w:rsid w:val="000429F0"/>
    <w:rsid w:val="00043986"/>
    <w:rsid w:val="000538FF"/>
    <w:rsid w:val="0009458C"/>
    <w:rsid w:val="00133118"/>
    <w:rsid w:val="00175BEA"/>
    <w:rsid w:val="002438D6"/>
    <w:rsid w:val="0026337E"/>
    <w:rsid w:val="002A33E0"/>
    <w:rsid w:val="002A428F"/>
    <w:rsid w:val="00305246"/>
    <w:rsid w:val="00315D9E"/>
    <w:rsid w:val="0033211D"/>
    <w:rsid w:val="003D08ED"/>
    <w:rsid w:val="003D4A33"/>
    <w:rsid w:val="003E284C"/>
    <w:rsid w:val="00406CA6"/>
    <w:rsid w:val="004144C1"/>
    <w:rsid w:val="00430323"/>
    <w:rsid w:val="0043233E"/>
    <w:rsid w:val="0044407B"/>
    <w:rsid w:val="0045013C"/>
    <w:rsid w:val="00490BDA"/>
    <w:rsid w:val="004A7304"/>
    <w:rsid w:val="004B4F24"/>
    <w:rsid w:val="00503C26"/>
    <w:rsid w:val="005750EB"/>
    <w:rsid w:val="005A5B9E"/>
    <w:rsid w:val="005A64F2"/>
    <w:rsid w:val="005B2082"/>
    <w:rsid w:val="005F5D5D"/>
    <w:rsid w:val="006412E6"/>
    <w:rsid w:val="00652525"/>
    <w:rsid w:val="006868D7"/>
    <w:rsid w:val="006E3BA0"/>
    <w:rsid w:val="0072533D"/>
    <w:rsid w:val="00757B4B"/>
    <w:rsid w:val="00776997"/>
    <w:rsid w:val="00777A42"/>
    <w:rsid w:val="007E5622"/>
    <w:rsid w:val="00814A70"/>
    <w:rsid w:val="008157C2"/>
    <w:rsid w:val="00820317"/>
    <w:rsid w:val="00851784"/>
    <w:rsid w:val="00863E57"/>
    <w:rsid w:val="008717B8"/>
    <w:rsid w:val="008B3EB6"/>
    <w:rsid w:val="008B5171"/>
    <w:rsid w:val="008E7BDD"/>
    <w:rsid w:val="00994931"/>
    <w:rsid w:val="009B6DED"/>
    <w:rsid w:val="009C15A1"/>
    <w:rsid w:val="009D3255"/>
    <w:rsid w:val="00A15FF9"/>
    <w:rsid w:val="00A31557"/>
    <w:rsid w:val="00A35532"/>
    <w:rsid w:val="00A66EB2"/>
    <w:rsid w:val="00A8158F"/>
    <w:rsid w:val="00AE1DFD"/>
    <w:rsid w:val="00B07394"/>
    <w:rsid w:val="00B365C7"/>
    <w:rsid w:val="00B401FA"/>
    <w:rsid w:val="00B665E5"/>
    <w:rsid w:val="00B71A1B"/>
    <w:rsid w:val="00B81AF5"/>
    <w:rsid w:val="00B83DCC"/>
    <w:rsid w:val="00B965EA"/>
    <w:rsid w:val="00BC3266"/>
    <w:rsid w:val="00C04C37"/>
    <w:rsid w:val="00C11F05"/>
    <w:rsid w:val="00C303BB"/>
    <w:rsid w:val="00CC7E43"/>
    <w:rsid w:val="00D435F7"/>
    <w:rsid w:val="00D47CBB"/>
    <w:rsid w:val="00D966F7"/>
    <w:rsid w:val="00DD44C1"/>
    <w:rsid w:val="00E32E04"/>
    <w:rsid w:val="00E6476D"/>
    <w:rsid w:val="00EA7E7A"/>
    <w:rsid w:val="00EC394A"/>
    <w:rsid w:val="00ED6003"/>
    <w:rsid w:val="00EF3D28"/>
    <w:rsid w:val="00F0750D"/>
    <w:rsid w:val="00F36B23"/>
    <w:rsid w:val="00F745A4"/>
    <w:rsid w:val="00F926F4"/>
    <w:rsid w:val="00F97B63"/>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F5"/>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neuroimage.2019.116091"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14995</Words>
  <Characters>85475</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6</cp:revision>
  <dcterms:created xsi:type="dcterms:W3CDTF">2024-10-28T12:08:00Z</dcterms:created>
  <dcterms:modified xsi:type="dcterms:W3CDTF">2024-11-27T10:37:00Z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id="PZ44UjJB"/&gt;&lt;style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