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83" w14:textId="670498BB" w:rsidR="00A33422" w:rsidRPr="004B3A0C" w:rsidRDefault="00A33422" w:rsidP="00602EDE">
      <w:pPr>
        <w:rPr>
          <w:b/>
          <w:bCs/>
        </w:rPr>
      </w:pPr>
      <w:r>
        <w:rPr>
          <w:b/>
          <w:bCs/>
        </w:rPr>
        <w:t>Project Plan</w:t>
      </w:r>
    </w:p>
    <w:p w14:paraId="30D9D7EA" w14:textId="77777777" w:rsidR="00A33422" w:rsidRPr="004B3A0C" w:rsidRDefault="00A33422" w:rsidP="00602EDE">
      <w:pPr>
        <w:rPr>
          <w:b/>
          <w:bCs/>
        </w:rPr>
      </w:pPr>
    </w:p>
    <w:p w14:paraId="3C5D9128" w14:textId="39038136" w:rsidR="00A33422" w:rsidRPr="004B3A0C" w:rsidRDefault="00A33422" w:rsidP="00602EDE">
      <w:r w:rsidRPr="004B3A0C">
        <w:rPr>
          <w:b/>
          <w:bCs/>
        </w:rPr>
        <w:t xml:space="preserve">Student: </w:t>
      </w:r>
      <w:proofErr w:type="spellStart"/>
      <w:r w:rsidR="00B0102F" w:rsidRPr="004B3A0C">
        <w:t>Magster</w:t>
      </w:r>
      <w:proofErr w:type="spellEnd"/>
    </w:p>
    <w:p w14:paraId="03C2287B" w14:textId="6E1631A1" w:rsidR="00A33422" w:rsidRPr="004B3A0C" w:rsidRDefault="00A33422" w:rsidP="00602EDE">
      <w:pPr>
        <w:rPr>
          <w:b/>
          <w:bCs/>
        </w:rPr>
      </w:pPr>
      <w:r w:rsidRPr="004B3A0C">
        <w:rPr>
          <w:b/>
          <w:bCs/>
        </w:rPr>
        <w:t>Supervisors:</w:t>
      </w:r>
      <w:r w:rsidR="00A807E2">
        <w:rPr>
          <w:b/>
          <w:bCs/>
        </w:rPr>
        <w:t xml:space="preserve"> </w:t>
      </w:r>
    </w:p>
    <w:p w14:paraId="485AB0DD" w14:textId="0E503B12" w:rsidR="00602EDE" w:rsidRPr="004B3A0C" w:rsidRDefault="00C8750A" w:rsidP="00602EDE">
      <w:r w:rsidRPr="004B3A0C">
        <w:rPr>
          <w:b/>
          <w:bCs/>
        </w:rPr>
        <w:t>Title:</w:t>
      </w:r>
      <w:r w:rsidRPr="004B3A0C">
        <w:t xml:space="preserve"> </w:t>
      </w:r>
      <w:r w:rsidR="00602EDE" w:rsidRPr="004B3A0C">
        <w:rPr>
          <w:rFonts w:eastAsiaTheme="majorEastAsia"/>
        </w:rPr>
        <w:t>Predicting Psychotic Symptoms in Adolescents</w:t>
      </w:r>
    </w:p>
    <w:p w14:paraId="5CD1E06C" w14:textId="5A3FEE7E" w:rsidR="00C8750A" w:rsidRPr="004B3A0C" w:rsidRDefault="00C8750A" w:rsidP="00602EDE"/>
    <w:p w14:paraId="56AD2F74" w14:textId="144002E2" w:rsidR="00E7344F" w:rsidRPr="004B3A0C" w:rsidRDefault="00E7344F" w:rsidP="00602EDE">
      <w:pPr>
        <w:rPr>
          <w:b/>
          <w:bCs/>
        </w:rPr>
      </w:pPr>
      <w:r w:rsidRPr="004B3A0C">
        <w:rPr>
          <w:b/>
          <w:bCs/>
        </w:rPr>
        <w:t>Research objective:</w:t>
      </w:r>
    </w:p>
    <w:p w14:paraId="11049948" w14:textId="3371ED48" w:rsidR="00E7344F" w:rsidRPr="004B3A0C" w:rsidRDefault="00E7344F" w:rsidP="00E7344F">
      <w:r w:rsidRPr="004B3A0C">
        <w:t xml:space="preserve">Assessing mental health conditions can be approached through various methods, each with its strengths and limitations. This thesis aims to use extensive data from the Adolescent Brain Cognitive Development (ABCD) study to investigate how different assessment methods influence the accuracy of predicting the development of psychotic symptoms in adolescence. By focusing on various contributing factors and their interactions, our goal is to predict responses on the Kiddie Schedule for Affective Disorders and Schizophrenia (KSADS) questionnaire </w:t>
      </w:r>
      <w:r w:rsidRPr="004B3A0C">
        <w:fldChar w:fldCharType="begin"/>
      </w:r>
      <w:r w:rsidRPr="004B3A0C">
        <w:instrText xml:space="preserve"> ADDIN ZOTERO_ITEM CSL_CITATION {"citationID":"j7p27JgB","properties":{"formattedCitation":"(Geller et al., 2001)","plainCitation":"(Geller et al., 2001)","noteIndex":0},"citationItems":[{"id":2295,"uris":["http://zotero.org/users/13126831/items/2NQ8S6YB"],"itemData":{"id":2295,"type":"article-journal","abstract":"Objective\nTo investigate the reliability of the Washington University in St. Louis Kiddie Schedule for Affective Disorders and Schizophrenia (WASH-U-KSADS) mania and rapid cycling sections.\nMethod\nThe 1986 version of the KSADS was modified and expanded to include onset and offset of each symptom for both current and lifetime episodes, expanded prepubertal mania and rapid cycling sections, and categories for attention-deficit/hyperactivity disorder and other DSM-IV diagnoses. To optimize diagnostic research, skip-outs were minimized. Subjects participated in the ongoing “Phenomenology and Course of Pediatric Bipolar Disorder” study. Mothers and children were interviewed separately by research nurses who were blind to diagnostic group status. In addition, ratings of off-site child psychiatrists, made from the narrative documentation given for each WASH-U-KSADS item, were compared with research nurse ratings. This work was performed between 1995 and 2000.\nResults\nThere was 100% interrater reliability, five consecutive times, as both interviewer and observer after 10 to 15 trials. The κ values of comparisons between research nurse and off-site blind best-estimate ratings of mania and rapid cycling sections were excellent (0.74–1.00). High 6-month stability for mania diagnoses (85.7%) and for individual mania items and validity against parental and teacher reports were previously reported.\nConclusions\nThe WASH-U-KSADS mania and rapid cycling sections have acceptable reliability.","container-title":"Journal of the American Academy of Child &amp; Adolescent Psychiatry","DOI":"10.1097/00004583-200104000-00014","ISSN":"0890-8567","issue":"4","journalAbbreviation":"Journal of the American Academy of Child &amp; Adolescent Psychiatry","page":"450-455","source":"ScienceDirect","title":"Reliability of the Washington University in St. Louis Kiddie Schedule for Affective Disorders and Schizophrenia (WASH-U-KSADS) Mania and Rapid Cycling Sections","volume":"40","author":[{"family":"Geller","given":"BARBARA"},{"family":"Zimerman","given":"BETSY"},{"family":"Williams","given":"MARLENE"},{"family":"Bolhofner","given":"KRISTINE"},{"family":"Craney","given":"JAMES L."},{"family":"Delbello","given":"MELISSA P."},{"family":"Soutullo","given":"CESAR"}],"issued":{"date-parts":[["2001",4,1]]}}}],"schema":"https://github.com/citation-style-language/schema/raw/master/csl-citation.json"} </w:instrText>
      </w:r>
      <w:r w:rsidRPr="004B3A0C">
        <w:fldChar w:fldCharType="separate"/>
      </w:r>
      <w:r w:rsidRPr="004B3A0C">
        <w:t>(Geller et al., 2001)</w:t>
      </w:r>
      <w:r w:rsidRPr="004B3A0C">
        <w:fldChar w:fldCharType="end"/>
      </w:r>
      <w:r w:rsidRPr="004B3A0C">
        <w:t>. Specifically, we will assess how the inclusion of additional data—such as MRI scans, hormonal information, and cognitive assessments—affects the accuracy of predicting psychotic symptomatology on the KSADS.</w:t>
      </w:r>
    </w:p>
    <w:p w14:paraId="711D6DA7" w14:textId="77777777" w:rsidR="00E7344F" w:rsidRPr="004B3A0C" w:rsidRDefault="00E7344F" w:rsidP="00602EDE"/>
    <w:p w14:paraId="395E8C32" w14:textId="77777777" w:rsidR="00EC7169" w:rsidRPr="004B3A0C" w:rsidRDefault="00C8750A" w:rsidP="00602EDE">
      <w:pPr>
        <w:rPr>
          <w:b/>
          <w:bCs/>
        </w:rPr>
      </w:pPr>
      <w:r w:rsidRPr="004B3A0C">
        <w:rPr>
          <w:b/>
          <w:bCs/>
        </w:rPr>
        <w:t xml:space="preserve">Background: </w:t>
      </w:r>
    </w:p>
    <w:p w14:paraId="3DBD9045" w14:textId="0F3BBDCD" w:rsidR="00EC7169" w:rsidRPr="004B3A0C" w:rsidRDefault="00EC7169" w:rsidP="00602EDE">
      <w:r w:rsidRPr="004B3A0C">
        <w:t>Schizophrenia is a complex mental disorder with symptoms that typically originate during adolescence, a critical period marked by significant changes in brain structure and function, hormonal fluctuations, and psychosocial environments</w:t>
      </w:r>
      <w:r w:rsidR="00602EDE" w:rsidRPr="004B3A0C">
        <w:t xml:space="preserve"> </w:t>
      </w:r>
      <w:r w:rsidR="00602EDE" w:rsidRPr="004B3A0C">
        <w:fldChar w:fldCharType="begin"/>
      </w:r>
      <w:r w:rsidR="00602EDE" w:rsidRPr="004B3A0C">
        <w:instrText xml:space="preserve"> ADDIN ZOTERO_ITEM CSL_CITATION {"citationID":"ItIaHaAZ","properties":{"formattedCitation":"(Gilmore et al., 2018; Patel et al., 2021)","plainCitation":"(Gilmore et al., 2018; Patel et al., 2021)","noteIndex":0},"citationItems":[{"id":2308,"uris":["http://zotero.org/users/13126831/items/M9VBE8XW"],"itemData":{"id":2308,"type":"article-journal","abstract":"In humans, the period from term birth to </w:instrText>
      </w:r>
      <w:r w:rsidR="00602EDE" w:rsidRPr="004B3A0C">
        <w:rPr>
          <w:rFonts w:ascii="Cambria Math" w:hAnsi="Cambria Math" w:cs="Cambria Math"/>
        </w:rPr>
        <w:instrText>∼</w:instrText>
      </w:r>
      <w:r w:rsidR="00602EDE" w:rsidRPr="004B3A0C">
        <w:instrText xml:space="preserve">2 years of age is characterized by rapid and dynamic brain development and plays an important role in cognitive development and risk of disorders such as autism and schizophrenia. Recent imaging studies have begun to delineate the growth trajectories of brain structure and function in the first years after birth and their relationship to cognition and risk of neuropsychiatric disorders. This Review discusses the development of grey and white matter and structural and functional networks, as well as genetic and environmental influences on early-childhood brain development. We also discuss initial evidence regarding the usefulness of early imaging biomarkers for predicting cognitive outcomes and risk of neuropsychiatric disorders.","container-title":"Nat Rev Neurosci","DOI":"10.1038/nrn.2018.1","ISSN":"1471-003X","issue":"3","note":"publisher-place: England\npublisher: England: Nature Publishing Group","page":"123-137","title":"Imaging structural and functional brain development in early childhood","volume":"19","author":[{"family":"Gilmore","given":"John H"},{"family":"Knickmeyer","given":"Rebecca C"},{"family":"Gao","given":"Wei"}],"issued":{"date-parts":[["2018"]]}}},{"id":2279,"uris":["http://zotero.org/users/13126831/items/8GES9GNL"],"itemData":{"id":2279,"type":"article-journal","abstract":"Adolescence is characterized by significant changes in several domains, including brain structure and function, puberty, and social and environmental factors. Some of these changes serve to increase the likelihood of psychosis onset during this period, while others may buffer this risk. This review characterizes our current knowledge regarding the unique aspects of adolescence that may serve as risk factors for schizophrenia spectrum disorders. In addition, we provide potential future directions for research into adolescent-specific developmental mechanisms that impart vulnerability to psychosis and the possibility of interventions that capitalize on adolescents’ unique characteristics. Specifically, we explore the ways in which gray and white matter develop throughout adolescence in typically developing youth as well as in those with psychosis spectrum disorders. We also discuss current views on the function that social support and demands, as well as role expectations, play in risk for psychosis. We further highlight the importance of considering biological factors such as puberty and hormonal changes as areas of unique vulnerability for adolescents. Finally, we discuss cannabis use as a factor that may have a unique impact during adolescent neurodevelopment, and subsequently potentially impact psychosis onset. Throughout, we include discussion of resilience factors that may provide unique opportunities for intervention during this dynamic life stage.","collection-title":"Adolescent Brain Development and Psychopathology","container-title":"Biological Psychiatry","DOI":"10.1016/j.biopsych.2020.06.028","ISSN":"0006-3223","issue":"2","journalAbbreviation":"Biological Psychiatry","page":"184-193","source":"ScienceDirect","title":"Adolescent Neurodevelopment and Vulnerability to Psychosis","volume":"89","author":[{"family":"Patel","given":"Pooja K."},{"family":"Leathem","given":"Logan D."},{"family":"Currin","given":"Danielle L."},{"family":"Karlsgodt","given":"Katherine H."}],"issued":{"date-parts":[["2021",1,15]]}}}],"schema":"https://github.com/citation-style-language/schema/raw/master/csl-citation.json"} </w:instrText>
      </w:r>
      <w:r w:rsidR="00602EDE" w:rsidRPr="004B3A0C">
        <w:fldChar w:fldCharType="separate"/>
      </w:r>
      <w:r w:rsidR="00602EDE" w:rsidRPr="004B3A0C">
        <w:t>(Gilmore et al., 2018; Patel et al., 2021)</w:t>
      </w:r>
      <w:r w:rsidR="00602EDE" w:rsidRPr="004B3A0C">
        <w:fldChar w:fldCharType="end"/>
      </w:r>
      <w:r w:rsidR="00602EDE" w:rsidRPr="004B3A0C">
        <w:t xml:space="preserve">. </w:t>
      </w:r>
      <w:r w:rsidRPr="004B3A0C">
        <w:t xml:space="preserve">Although schizophrenia is not directly fatal, individuals with the disorder face a higher risk of premature death, often due to elevated rates of suicide and lifestyle-related health issues </w:t>
      </w:r>
      <w:r w:rsidR="00602EDE" w:rsidRPr="004B3A0C">
        <w:fldChar w:fldCharType="begin"/>
      </w:r>
      <w:r w:rsidR="00602EDE" w:rsidRPr="004B3A0C">
        <w:instrText xml:space="preserve"> ADDIN ZOTERO_ITEM CSL_CITATION {"citationID":"deCvpPzy","properties":{"formattedCitation":"(Harkavy-Friedman, 2006)","plainCitation":"(Harkavy-Friedman, 2006)","noteIndex":0},"citationItems":[{"id":2302,"uris":["http://zotero.org/users/13126831/items/3ZS8AWJ4"],"itemData":{"id":2302,"type":"article-journal","abstract":"Until recently, studies regarding suicidal behavior in schizophrenia have relied almost exclusively on medical records and postmortem data, applying univariate analytic approaches to a multivariate problem. Using this and other approaches, we can make headway in reducing suicide risk, providing early intervention, and improving the quality of life for individuals with schizophrenia and their families.","container-title":"Am J Psychiatry","DOI":"10.1176/ajp.2006.163.5.768","ISSN":"0002-953X","issue":"5","note":"publisher-place: United States\npublisher: United States: American Psychiatric Association","page":"768-770","title":"Can Early Detection of Psychosis Prevent Suicidal Behavior?","volume":"163","author":[{"family":"Harkavy-Friedman","given":"Jill M."}],"issued":{"date-parts":[["2006"]]}}}],"schema":"https://github.com/citation-style-language/schema/raw/master/csl-citation.json"} </w:instrText>
      </w:r>
      <w:r w:rsidR="00602EDE" w:rsidRPr="004B3A0C">
        <w:fldChar w:fldCharType="separate"/>
      </w:r>
      <w:r w:rsidR="00602EDE" w:rsidRPr="004B3A0C">
        <w:t>(</w:t>
      </w:r>
      <w:proofErr w:type="spellStart"/>
      <w:r w:rsidR="00602EDE" w:rsidRPr="004B3A0C">
        <w:t>Harkavy</w:t>
      </w:r>
      <w:proofErr w:type="spellEnd"/>
      <w:r w:rsidR="00602EDE" w:rsidRPr="004B3A0C">
        <w:t>-Friedman, 2006)</w:t>
      </w:r>
      <w:r w:rsidR="00602EDE" w:rsidRPr="004B3A0C">
        <w:fldChar w:fldCharType="end"/>
      </w:r>
      <w:r w:rsidR="00602EDE" w:rsidRPr="004B3A0C">
        <w:t xml:space="preserve">. </w:t>
      </w:r>
      <w:r w:rsidRPr="004B3A0C">
        <w:t>Therefore, identifying at-risk individuals efficiently and cost-effectively is crucial.</w:t>
      </w:r>
      <w:r w:rsidR="00E7344F" w:rsidRPr="004B3A0C">
        <w:t xml:space="preserve"> </w:t>
      </w:r>
      <w:r w:rsidR="00602EDE" w:rsidRPr="004B3A0C">
        <w:t>Existing research emphasizes the multifaceted influences on the development of schizophrenia</w:t>
      </w:r>
      <w:r w:rsidR="00E7344F" w:rsidRPr="004B3A0C">
        <w:t xml:space="preserve">. </w:t>
      </w:r>
      <w:r w:rsidR="00602EDE" w:rsidRPr="004B3A0C">
        <w:t xml:space="preserve">Psychosocial stressors such as social adversity, isolation, and bullying during adolescence are linked to schizophrenia and can disrupt brain development </w:t>
      </w:r>
      <w:r w:rsidR="00602EDE" w:rsidRPr="004B3A0C">
        <w:fldChar w:fldCharType="begin"/>
      </w:r>
      <w:r w:rsidR="00602EDE" w:rsidRPr="004B3A0C">
        <w:instrText xml:space="preserve"> ADDIN ZOTERO_ITEM CSL_CITATION {"citationID":"RQ8RW3Or","properties":{"formattedCitation":"(Lay et al., 2000; Makinodan et al., 2012)","plainCitation":"(Lay et al., 2000; Makinodan et al., 2012)","noteIndex":0},"citationItems":[{"id":2316,"uris":["http://zotero.org/users/13126831/items/3FUU7QE8"],"itemData":{"id":2316,"type":"article-journal","abstract":"This study examines the educational/occupational outcome and social situation of patients treated for schizophrenia in adolescence (age at admission 11.5-17.9 years","container-title":"Schizophr Bull","DOI":"10.1093/oxfordjournals.schbul.a033495","ISSN":"0586-7614","issue":"4","note":"publisher-place: Oxford\npublisher: Oxford: National Institute of Mental Health","page":"801-816","title":"The Psychosocial Outcome of Adolescent-Onset Schizophrenia: A 12-Year Followup","volume":"26","author":[{"family":"Lay","given":"Barbara"},{"family":"Blanz","given":"Bernd"},{"family":"Hartmann","given":"Michael"},{"family":"Schmidt","given":"Martin H."}],"issued":{"date-parts":[["2000"]]}}},{"id":2325,"uris":["http://zotero.org/users/13126831/items/B2GH7P7P"],"itemData":{"id":2325,"type":"article-journal","container-title":"science","ISSN":"0036-8075","issue":"6100","journalAbbreviation":"science","note":"publisher: American Association for the Advancement of Science","page":"1357-1360","title":"A critical period for social experience–dependent oligodendrocyte maturation and myelination","volume":"337","author":[{"family":"Makinodan","given":"Manabu"},{"family":"Rosen","given":"Kenneth M"},{"family":"Ito","given":"Susumu"},{"family":"Corfas","given":"Gabriel"}],"issued":{"date-parts":[["2012"]]}}}],"schema":"https://github.com/citation-style-language/schema/raw/master/csl-citation.json"} </w:instrText>
      </w:r>
      <w:r w:rsidR="00602EDE" w:rsidRPr="004B3A0C">
        <w:fldChar w:fldCharType="separate"/>
      </w:r>
      <w:r w:rsidR="00602EDE" w:rsidRPr="004B3A0C">
        <w:t xml:space="preserve">(Lay et al., 2000; </w:t>
      </w:r>
      <w:proofErr w:type="spellStart"/>
      <w:r w:rsidR="00602EDE" w:rsidRPr="004B3A0C">
        <w:t>Makinodan</w:t>
      </w:r>
      <w:proofErr w:type="spellEnd"/>
      <w:r w:rsidR="00602EDE" w:rsidRPr="004B3A0C">
        <w:t xml:space="preserve"> et al., 2012)</w:t>
      </w:r>
      <w:r w:rsidR="00602EDE" w:rsidRPr="004B3A0C">
        <w:fldChar w:fldCharType="end"/>
      </w:r>
      <w:r w:rsidR="00602EDE" w:rsidRPr="004B3A0C">
        <w:t xml:space="preserve"> Hormonal shifts during puberty, involving changes in gonadal hormones (testosterone and </w:t>
      </w:r>
      <w:proofErr w:type="spellStart"/>
      <w:r w:rsidR="00602EDE" w:rsidRPr="004B3A0C">
        <w:t>estrogen</w:t>
      </w:r>
      <w:proofErr w:type="spellEnd"/>
      <w:r w:rsidR="00602EDE" w:rsidRPr="004B3A0C">
        <w:t xml:space="preserve">) and stress hormones (cortisol), play a crucial role in neurodevelopment </w:t>
      </w:r>
      <w:r w:rsidR="00602EDE" w:rsidRPr="004B3A0C">
        <w:fldChar w:fldCharType="begin"/>
      </w:r>
      <w:r w:rsidR="00602EDE" w:rsidRPr="004B3A0C">
        <w:instrText xml:space="preserve"> ADDIN ZOTERO_ITEM CSL_CITATION {"citationID":"KgTEZBiW","properties":{"formattedCitation":"(Peper &amp; Dahl, 2013)","plainCitation":"(Peper &amp; Dahl, 2013)","noteIndex":0},"citationItems":[{"id":2321,"uris":["http://zotero.org/users/13126831/items/A9F8A2EN"],"itemData":{"id":2321,"type":"article-journal","abstract":"In this paper, we discuss the surging hormones of puberty and their influences on adolescent behavior. We describe why these issues represent an interesting and important area of investigation, emphasizing their contributions to a specific set of developmental processes at the heart of the transition from childhood to adolescence. We briefly review the neuroendocrine underpinnings of human puberty. Our review focuses on evidence for behavioral (and neurobehavioral) effects of gonadal hormones and emphasizes the social and affective dimensions of these hormonal effects. More broadly, we consider how these hormonal events contribute to brain-behavior interactions that can bias early adolescent trajectories in both positive and negative directions, and in ways that may begin as small influences but can spiral into large-scale effects over time. These influences also appear to play an important role in functional and structural brain development during adolescence. Finally, we offer some thoughts on directions for future research in these areas.","container-title":"Curr Dir Psychol Sci","DOI":"10.1177/0963721412473755","ISSN":"0963-7214","issue":"2","note":"publisher-place: Los Angeles, CA\npublisher: Los Angeles, CA: SAGE Publications","page":"134-139","title":"The Teenage Brain: Surging Hormones—Brain-Behavior Interactions During Puberty","volume":"22","author":[{"family":"Peper","given":"Jiska S."},{"family":"Dahl","given":"Ronald E."}],"issued":{"date-parts":[["2013"]]}}}],"schema":"https://github.com/citation-style-language/schema/raw/master/csl-citation.json"} </w:instrText>
      </w:r>
      <w:r w:rsidR="00602EDE" w:rsidRPr="004B3A0C">
        <w:fldChar w:fldCharType="separate"/>
      </w:r>
      <w:r w:rsidR="00602EDE" w:rsidRPr="004B3A0C">
        <w:t>(</w:t>
      </w:r>
      <w:proofErr w:type="spellStart"/>
      <w:r w:rsidR="00602EDE" w:rsidRPr="004B3A0C">
        <w:t>Peper</w:t>
      </w:r>
      <w:proofErr w:type="spellEnd"/>
      <w:r w:rsidR="00602EDE" w:rsidRPr="004B3A0C">
        <w:t xml:space="preserve"> &amp; Dahl, 2013)</w:t>
      </w:r>
      <w:r w:rsidR="00602EDE" w:rsidRPr="004B3A0C">
        <w:fldChar w:fldCharType="end"/>
      </w:r>
      <w:r w:rsidR="00602EDE" w:rsidRPr="004B3A0C">
        <w:t xml:space="preserve">. Furthermore, biological mechanisms like accelerated synaptic pruning and impaired myelination significantly impact brain structure and function </w:t>
      </w:r>
      <w:r w:rsidR="00602EDE" w:rsidRPr="004B3A0C">
        <w:fldChar w:fldCharType="begin"/>
      </w:r>
      <w:r w:rsidR="00602EDE" w:rsidRPr="004B3A0C">
        <w:instrText xml:space="preserve"> ADDIN ZOTERO_ITEM CSL_CITATION {"citationID":"PnPmieKk","properties":{"formattedCitation":"(Caballero et al., 2016; Paus, 2010)","plainCitation":"(Caballero et al., 2016; Paus, 2010)","noteIndex":0},"citationItems":[{"id":2324,"uris":["http://zotero.org/users/13126831/items/3JQ4ZVYJ"],"itemData":{"id":2324,"type":"article-journal","container-title":"Neuroscience &amp; Biobehavioral Reviews","ISSN":"0149-7634","journalAbbreviation":"Neuroscience &amp; Biobehavioral Reviews","note":"publisher: Elsevier","page":"4-12","title":"Mechanisms contributing to prefrontal cortex maturation during adolescence","volume":"70","author":[{"family":"Caballero","given":"Adriana"},{"family":"Granberg","given":"Rachel"},{"family":"Tseng","given":"Kuei Y"}],"issued":{"date-parts":[["2016"]]}}},{"id":2326,"uris":["http://zotero.org/users/13126831/items/CA6PTUW8"],"itemData":{"id":2326,"type":"article-journal","container-title":"Brain and cognition","ISSN":"0278-2626","issue":"1","journalAbbreviation":"Brain and cognition","note":"publisher: Elsevier","page":"26-35","title":"Growth of white matter in the adolescent brain: myelin or axon?","volume":"72","author":[{"family":"Paus","given":"Tomáš"}],"issued":{"date-parts":[["2010"]]}}}],"schema":"https://github.com/citation-style-language/schema/raw/master/csl-citation.json"} </w:instrText>
      </w:r>
      <w:r w:rsidR="00602EDE" w:rsidRPr="004B3A0C">
        <w:fldChar w:fldCharType="separate"/>
      </w:r>
      <w:r w:rsidR="00602EDE" w:rsidRPr="004B3A0C">
        <w:t>(Caballero et al., 2016; Paus, 2010)</w:t>
      </w:r>
      <w:r w:rsidR="00602EDE" w:rsidRPr="004B3A0C">
        <w:fldChar w:fldCharType="end"/>
      </w:r>
      <w:r w:rsidR="00602EDE" w:rsidRPr="004B3A0C">
        <w:t xml:space="preserve">. </w:t>
      </w:r>
      <w:r w:rsidR="00E7344F" w:rsidRPr="004B3A0C">
        <w:t>Finally</w:t>
      </w:r>
      <w:r w:rsidR="00602EDE" w:rsidRPr="004B3A0C">
        <w:t>, genetic factors are also critical, as twin and family studies have demonstrated a substantial hereditary component in the disorder's etiology</w:t>
      </w:r>
      <w:r w:rsidR="00A807E2">
        <w:t xml:space="preserve"> </w:t>
      </w:r>
      <w:r w:rsidR="00A807E2">
        <w:fldChar w:fldCharType="begin"/>
      </w:r>
      <w:r w:rsidR="00A807E2">
        <w:instrText xml:space="preserve"> ADDIN ZOTERO_ITEM CSL_CITATION {"citationID":"woPMyGOK","properties":{"formattedCitation":"(Rees et al., 2015)","plainCitation":"(Rees et al., 2015)","noteIndex":0},"citationItems":[{"id":2337,"uris":["http://zotero.org/users/13126831/items/ZV7VMFEN"],"itemData":{"id":2337,"type":"article-journal","abstract":"Schizophrenia is a common psychiatric disorder with a strong genetic component. Recent studies applying new genomic technology to large samples have yielded substantial advances in identifying specific, associated DNA variants as well as clarifying the underlying genetic architecture of the disorder. The genetic liability of schizophrenia is now established as polygenic, with risk alleles in many genes existing across the full allelic frequency spectrum. It has also become apparent that schizophrenia shares risk alleles with other neuropsychiatric phenotypes, such as bipolar disorder, major depressive disorder, autism spectrum disorder, intellectual disability and attention-deficit hyperactivity disorder. These risk variants aggregate in several sets of functionally related genes, thereby providing novel insights into disease pathogenesis and opportunities for research into discovering new treatments.","collection-title":"Behavioral genetics","container-title":"Current Opinion in Behavioral Sciences","DOI":"10.1016/j.cobeha.2014.07.001","ISSN":"2352-1546","journalAbbreviation":"Current Opinion in Behavioral Sciences","page":"8-14","source":"ScienceDirect","title":"Genetics of schizophrenia","volume":"2","author":[{"family":"Rees","given":"Elliott"},{"family":"O’Donovan","given":"Michael C"},{"family":"Owen","given":"Michael J"}],"issued":{"date-parts":[["2015",4,1]]}}}],"schema":"https://github.com/citation-style-language/schema/raw/master/csl-citation.json"} </w:instrText>
      </w:r>
      <w:r w:rsidR="00A807E2">
        <w:fldChar w:fldCharType="separate"/>
      </w:r>
      <w:r w:rsidR="00A807E2">
        <w:rPr>
          <w:noProof/>
        </w:rPr>
        <w:t>(Rees et al., 2015)</w:t>
      </w:r>
      <w:r w:rsidR="00A807E2">
        <w:fldChar w:fldCharType="end"/>
      </w:r>
      <w:r w:rsidR="00602EDE" w:rsidRPr="004B3A0C">
        <w:t>.</w:t>
      </w:r>
    </w:p>
    <w:p w14:paraId="38473BE2" w14:textId="77777777" w:rsidR="00602EDE" w:rsidRPr="004B3A0C" w:rsidRDefault="00602EDE" w:rsidP="00602EDE"/>
    <w:p w14:paraId="44944AF7" w14:textId="11217888" w:rsidR="00EC7169" w:rsidRPr="004B3A0C" w:rsidRDefault="00EC7169" w:rsidP="00602EDE">
      <w:r w:rsidRPr="004B3A0C">
        <w:t xml:space="preserve">Together, these factors illustrate the complexity of schizophrenia's developmental origins and highlight the importance of understanding the multifaceted influences on its onset. While traditional statistical techniques primarily detect group-level effects, machine learning (ML) offers promise in creating individualized predictions by integrating diverse data types and optimizing multivariate brain patterns </w:t>
      </w:r>
      <w:r w:rsidR="00602EDE" w:rsidRPr="004B3A0C">
        <w:fldChar w:fldCharType="begin"/>
      </w:r>
      <w:r w:rsidR="00602EDE" w:rsidRPr="004B3A0C">
        <w:instrText xml:space="preserve"> ADDIN ZOTERO_ITEM CSL_CITATION {"citationID":"0WX83O9I","properties":{"formattedCitation":"(Abi-Dargham &amp; Horga, 2016)","plainCitation":"(Abi-Dargham &amp; Horga, 2016)","noteIndex":0},"citationItems":[{"id":2296,"uris":["http://zotero.org/users/13126831/items/M3M9J6YS"],"itemData":{"id":2296,"type":"article-journal","abstract":"The field of medicine is moving toward the use of biomarkers for the optimization of individualized care. This is a particular challenge for the field of psychiatry, in which diagnosis is based on a descriptive collection of behaviors without the availability of any objective test to stratify patients. Neuroimaging techniques such as molecular imaging with positron-emission tomography (PET) or structural and functional magnetic resonance imaging (MRI) provide an opportunity to bring psychiatry from an era of subjective descriptive classification into objective and tangible brain-based measures. Here we provide steps toward the development of robust, reliable and valid biomarkers. The success of such development is crucial because it will enable the field of psychiatry to move forward into the era of modern medicine.","container-title":"Nat Med","DOI":"10.1038/nm.4190","ISSN":"1078-8956","issue":"11","note":"publisher-place: United States\npublisher: United States: Nature Publishing Group","page":"1248-1255","title":"The search for imaging biomarkers in psychiatric disorders","volume":"22","author":[{"family":"Abi-Dargham","given":"Anissa"},{"family":"Horga","given":"Guillermo"}],"issued":{"date-parts":[["2016"]]}}}],"schema":"https://github.com/citation-style-language/schema/raw/master/csl-citation.json"} </w:instrText>
      </w:r>
      <w:r w:rsidR="00602EDE" w:rsidRPr="004B3A0C">
        <w:fldChar w:fldCharType="separate"/>
      </w:r>
      <w:r w:rsidR="00602EDE" w:rsidRPr="004B3A0C">
        <w:t>(Abi-</w:t>
      </w:r>
      <w:proofErr w:type="spellStart"/>
      <w:r w:rsidR="00602EDE" w:rsidRPr="004B3A0C">
        <w:t>Dargham</w:t>
      </w:r>
      <w:proofErr w:type="spellEnd"/>
      <w:r w:rsidR="00602EDE" w:rsidRPr="004B3A0C">
        <w:t xml:space="preserve"> &amp; </w:t>
      </w:r>
      <w:proofErr w:type="spellStart"/>
      <w:r w:rsidR="00602EDE" w:rsidRPr="004B3A0C">
        <w:t>Horga</w:t>
      </w:r>
      <w:proofErr w:type="spellEnd"/>
      <w:r w:rsidR="00602EDE" w:rsidRPr="004B3A0C">
        <w:t>, 2016)</w:t>
      </w:r>
      <w:r w:rsidR="00602EDE" w:rsidRPr="004B3A0C">
        <w:fldChar w:fldCharType="end"/>
      </w:r>
      <w:r w:rsidR="00602EDE" w:rsidRPr="004B3A0C">
        <w:t xml:space="preserve">. </w:t>
      </w:r>
      <w:r w:rsidRPr="004B3A0C">
        <w:t>This approach aims to transform group-level findings into clinically relevant individual predictions, ultimately improving prediction accuracy and possibly informing effective intervention strategies for schizophrenia.</w:t>
      </w:r>
    </w:p>
    <w:p w14:paraId="27FDF40E" w14:textId="77777777" w:rsidR="00B0102F" w:rsidRDefault="00B0102F" w:rsidP="00602EDE">
      <w:pPr>
        <w:rPr>
          <w:rFonts w:eastAsiaTheme="majorEastAsia"/>
          <w:b/>
          <w:bCs/>
        </w:rPr>
      </w:pPr>
    </w:p>
    <w:p w14:paraId="7F635EC8" w14:textId="77777777" w:rsidR="00A807E2" w:rsidRDefault="00A807E2" w:rsidP="00602EDE">
      <w:pPr>
        <w:rPr>
          <w:rFonts w:eastAsiaTheme="majorEastAsia"/>
          <w:b/>
          <w:bCs/>
        </w:rPr>
      </w:pPr>
    </w:p>
    <w:p w14:paraId="5E246519" w14:textId="77777777" w:rsidR="00A807E2" w:rsidRPr="004B3A0C" w:rsidRDefault="00A807E2" w:rsidP="00602EDE">
      <w:pPr>
        <w:rPr>
          <w:rFonts w:eastAsiaTheme="majorEastAsia"/>
          <w:b/>
          <w:bCs/>
        </w:rPr>
      </w:pPr>
    </w:p>
    <w:p w14:paraId="4A3CD436" w14:textId="0202297B" w:rsidR="00EC7169" w:rsidRPr="00EC7169" w:rsidRDefault="00EC7169" w:rsidP="00602EDE">
      <w:pPr>
        <w:rPr>
          <w:b/>
          <w:bCs/>
        </w:rPr>
      </w:pPr>
      <w:r w:rsidRPr="00EC7169">
        <w:rPr>
          <w:rFonts w:eastAsiaTheme="majorEastAsia"/>
          <w:b/>
          <w:bCs/>
        </w:rPr>
        <w:lastRenderedPageBreak/>
        <w:t>Methodology:</w:t>
      </w:r>
    </w:p>
    <w:p w14:paraId="34086068" w14:textId="48CD06CD" w:rsidR="00602EDE" w:rsidRPr="004B3A0C" w:rsidRDefault="00160C26" w:rsidP="00602EDE">
      <w:r w:rsidRPr="004B3A0C">
        <w:t xml:space="preserve">The ABCD study provides a </w:t>
      </w:r>
      <w:r w:rsidRPr="004B3A0C">
        <w:t xml:space="preserve">comprehensive </w:t>
      </w:r>
      <w:r w:rsidRPr="004B3A0C">
        <w:t>dataset</w:t>
      </w:r>
      <w:r w:rsidRPr="004B3A0C">
        <w:t xml:space="preserve"> including </w:t>
      </w:r>
      <w:r w:rsidRPr="004B3A0C">
        <w:t>12,000 children aged 9-10 years from 21 research sites across the United States</w:t>
      </w:r>
      <w:r w:rsidRPr="004B3A0C">
        <w:t xml:space="preserve"> </w:t>
      </w:r>
      <w:r w:rsidRPr="004B3A0C">
        <w:fldChar w:fldCharType="begin"/>
      </w:r>
      <w:r w:rsidRPr="004B3A0C">
        <w:instrText xml:space="preserve"> ADDIN ZOTERO_ITEM CSL_CITATION {"citationID":"nOiDPdjH","properties":{"formattedCitation":"(Karcher &amp; Barch, 2021)","plainCitation":"(Karcher &amp; Barch, 2021)","noteIndex":0},"citationItems":[{"id":2274,"uris":["http://zotero.org/users/13126831/items/N67L7QXC"],"itemData":{"id":2274,"type":"article-journal","abstract":"Following in the footsteps of other large “population neuroscience” studies, the Adolescent Brain Cognitive Development℠ (ABCD) study is the largest in the U.S. assessing brain development. The study is examining approximately 11,875 youth from 21 sites from age 9 to 10 for approximately ten years into young adulthood. The ABCD Study® has completed recruitment for the baseline sample generally using a multi-stage probability sample including a stratified random sample of schools. The dataset has a wealth of measured attributes of youths and their environment, including neuroimaging, cognitive, biospecimen, behavioral, youth self-report and parent self-report metrics, and environmental measures. The initial goal of the ABCD Study was to examine risk and resiliency factors associated with the development of substance use, but the project has expanded far beyond this initial set of questions and will also greatly inform our understanding of the contributions of biospecimens (e.g., pubertal hormones), neural alterations, and environmental factors to the development of both healthy behavior and brain function as well as risk for poor mental and physical outcomes. This review outlines how the ABCD Study was designed to elucidate factors associated with the development of negative mental and physical health outcomes and will provide a selective overview of results emerging from the ABCD Study. Such emerging data includes initial validation of new instruments, important new information about the prevalence and correlates of mental health challenges in middle childhood, and promising data regarding neural correlates of both healthy and disordered behavior. In addition, we will discuss the challenges and opportunities to understanding both healthy development and the emergence of risk from ABCD Study data. Finally, we will overview the future directions of this large undertaking and the ways in which it will shape our understanding of the development of risk for poor mental and physical health outcomes.","container-title":"Neuropsychopharmacology","DOI":"10.1038/s41386-020-0736-6","ISSN":"0893-133X","issue":"1","journalAbbreviation":"Neuropsychopharmacology","note":"PMID: 32541809\nPMCID: PMC7304245","page":"131-142","source":"PubMed Central","title":"The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sidRPr="004B3A0C">
        <w:fldChar w:fldCharType="separate"/>
      </w:r>
      <w:r w:rsidRPr="004B3A0C">
        <w:rPr>
          <w:noProof/>
        </w:rPr>
        <w:t>(Karcher &amp; Barch, 2021)</w:t>
      </w:r>
      <w:r w:rsidRPr="004B3A0C">
        <w:fldChar w:fldCharType="end"/>
      </w:r>
      <w:r w:rsidRPr="004B3A0C">
        <w:t>. Th</w:t>
      </w:r>
      <w:r w:rsidRPr="004B3A0C">
        <w:t>e</w:t>
      </w:r>
      <w:r w:rsidRPr="004B3A0C">
        <w:t xml:space="preserve"> study </w:t>
      </w:r>
      <w:r w:rsidRPr="004B3A0C">
        <w:t>includes</w:t>
      </w:r>
      <w:r w:rsidRPr="004B3A0C">
        <w:t xml:space="preserve"> neuroimaging, cognitive assessments, psychosocial surveys, and hormonal measurements.</w:t>
      </w:r>
      <w:r w:rsidRPr="004B3A0C">
        <w:t xml:space="preserve"> </w:t>
      </w:r>
      <w:r w:rsidR="00EC7169" w:rsidRPr="004B3A0C">
        <w:t>This thesis</w:t>
      </w:r>
      <w:r w:rsidR="00EC7169" w:rsidRPr="00EC7169">
        <w:t xml:space="preserve"> </w:t>
      </w:r>
      <w:r w:rsidR="00602EDE" w:rsidRPr="004B3A0C">
        <w:t>aims to</w:t>
      </w:r>
      <w:r w:rsidR="00EC7169" w:rsidRPr="00EC7169">
        <w:t xml:space="preserve"> evaluate the impact of incorporating biological and psychosocial assessments on predictive accuracy </w:t>
      </w:r>
      <w:r w:rsidR="00807A33" w:rsidRPr="004B3A0C">
        <w:t xml:space="preserve">of the model </w:t>
      </w:r>
      <w:r w:rsidR="00EC7169" w:rsidRPr="00EC7169">
        <w:t xml:space="preserve">and </w:t>
      </w:r>
      <w:r w:rsidR="00807A33" w:rsidRPr="004B3A0C">
        <w:t>assess</w:t>
      </w:r>
      <w:r w:rsidR="00602EDE" w:rsidRPr="004B3A0C">
        <w:t xml:space="preserve"> the</w:t>
      </w:r>
      <w:r w:rsidR="00807A33" w:rsidRPr="004B3A0C">
        <w:t xml:space="preserve"> </w:t>
      </w:r>
      <w:r w:rsidR="00EC7169" w:rsidRPr="00EC7169">
        <w:t>cost-effectiveness</w:t>
      </w:r>
      <w:r w:rsidR="00807A33" w:rsidRPr="004B3A0C">
        <w:t xml:space="preserve"> of each measurement</w:t>
      </w:r>
      <w:r w:rsidR="00602EDE" w:rsidRPr="004B3A0C">
        <w:t xml:space="preserve"> modality</w:t>
      </w:r>
      <w:r w:rsidR="00EC7169" w:rsidRPr="00EC7169">
        <w:t xml:space="preserve">. This </w:t>
      </w:r>
      <w:r w:rsidR="007101AF" w:rsidRPr="004B3A0C">
        <w:t>includes</w:t>
      </w:r>
      <w:r w:rsidR="00EC7169" w:rsidRPr="00EC7169">
        <w:t xml:space="preserve"> assessing the marginal benefits of adding each additional </w:t>
      </w:r>
      <w:r w:rsidR="00602EDE" w:rsidRPr="004B3A0C">
        <w:t>measurement</w:t>
      </w:r>
      <w:r w:rsidR="00EC7169" w:rsidRPr="00EC7169">
        <w:t xml:space="preserve"> to standard evaluation protocols. </w:t>
      </w:r>
      <w:r w:rsidR="00602EDE" w:rsidRPr="004B3A0C">
        <w:t>Additionally</w:t>
      </w:r>
      <w:r w:rsidR="00EC7169" w:rsidRPr="00EC7169">
        <w:t xml:space="preserve">, we </w:t>
      </w:r>
      <w:r w:rsidR="0018498C" w:rsidRPr="004B3A0C">
        <w:t>will a</w:t>
      </w:r>
      <w:r w:rsidR="0018498C" w:rsidRPr="004B3A0C">
        <w:t xml:space="preserve">ssess whether longitudinal data from </w:t>
      </w:r>
      <w:r w:rsidR="00A807E2">
        <w:rPr>
          <w:color w:val="000000" w:themeColor="text1"/>
        </w:rPr>
        <w:t xml:space="preserve">multiple </w:t>
      </w:r>
      <w:r w:rsidR="0018498C" w:rsidRPr="004B3A0C">
        <w:rPr>
          <w:color w:val="000000" w:themeColor="text1"/>
        </w:rPr>
        <w:t xml:space="preserve">timepoints can </w:t>
      </w:r>
      <w:r w:rsidR="0018498C" w:rsidRPr="004B3A0C">
        <w:t>increase the accuracy compared to a model based solely on data from a single timepoint</w:t>
      </w:r>
      <w:r w:rsidR="00A807E2">
        <w:t>.</w:t>
      </w:r>
    </w:p>
    <w:p w14:paraId="7DA60FAA" w14:textId="77777777" w:rsidR="0018498C" w:rsidRPr="00EC7169" w:rsidRDefault="0018498C" w:rsidP="00602EDE"/>
    <w:p w14:paraId="6827C2D6" w14:textId="77777777" w:rsidR="00A33422" w:rsidRPr="004B3A0C" w:rsidRDefault="00EC7169" w:rsidP="00602EDE">
      <w:pPr>
        <w:rPr>
          <w:lang w:val="en-GB"/>
        </w:rPr>
      </w:pPr>
      <w:r w:rsidRPr="00EC7169">
        <w:rPr>
          <w:rFonts w:eastAsiaTheme="majorEastAsia"/>
          <w:b/>
          <w:bCs/>
        </w:rPr>
        <w:t>Research Question:</w:t>
      </w:r>
    </w:p>
    <w:p w14:paraId="7B551CED" w14:textId="112F314E" w:rsidR="00EC7169" w:rsidRPr="004B3A0C" w:rsidRDefault="00807A33" w:rsidP="00602EDE">
      <w:r w:rsidRPr="004B3A0C">
        <w:rPr>
          <w:lang w:val="en-GB"/>
        </w:rPr>
        <w:t>How do different data modalities complement each other in predicting phenotype symptom severity ahead of time?</w:t>
      </w:r>
    </w:p>
    <w:p w14:paraId="661CAF0A" w14:textId="1580E065" w:rsidR="00A33422" w:rsidRPr="004B3A0C" w:rsidRDefault="00385D4B" w:rsidP="00602EDE">
      <w:r w:rsidRPr="004B3A0C">
        <w:br/>
      </w:r>
      <w:r w:rsidRPr="004B3A0C">
        <w:rPr>
          <w:b/>
          <w:bCs/>
        </w:rPr>
        <w:t>Ethical considerations and applications:</w:t>
      </w:r>
      <w:r w:rsidR="00EC7169" w:rsidRPr="004B3A0C">
        <w:t xml:space="preserve"> </w:t>
      </w:r>
      <w:r w:rsidR="00EC7169" w:rsidRPr="004B3A0C">
        <w:t xml:space="preserve">The data </w:t>
      </w:r>
      <w:r w:rsidR="00160C26" w:rsidRPr="004B3A0C">
        <w:t xml:space="preserve">will be stored on </w:t>
      </w:r>
      <w:proofErr w:type="spellStart"/>
      <w:r w:rsidR="00EC7169" w:rsidRPr="004B3A0C">
        <w:t>UiO’s</w:t>
      </w:r>
      <w:proofErr w:type="spellEnd"/>
      <w:r w:rsidR="00EC7169" w:rsidRPr="004B3A0C">
        <w:t xml:space="preserve"> TSD </w:t>
      </w:r>
      <w:r w:rsidR="00160C26" w:rsidRPr="004B3A0C">
        <w:t>(</w:t>
      </w:r>
      <w:proofErr w:type="spellStart"/>
      <w:r w:rsidR="00160C26" w:rsidRPr="004B3A0C">
        <w:t>Tjeneste</w:t>
      </w:r>
      <w:proofErr w:type="spellEnd"/>
      <w:r w:rsidR="00160C26" w:rsidRPr="004B3A0C">
        <w:t xml:space="preserve"> for Sensitive Data</w:t>
      </w:r>
      <w:r w:rsidR="00160C26" w:rsidRPr="004B3A0C">
        <w:t xml:space="preserve">). </w:t>
      </w:r>
      <w:r w:rsidR="00EC7169" w:rsidRPr="004B3A0C">
        <w:t xml:space="preserve">Access to TSD (project p23) and computing resources for running machine learning models, provided by the </w:t>
      </w:r>
      <w:proofErr w:type="spellStart"/>
      <w:r w:rsidR="00EC7169" w:rsidRPr="004B3A0C">
        <w:t>Center</w:t>
      </w:r>
      <w:proofErr w:type="spellEnd"/>
      <w:r w:rsidR="00EC7169" w:rsidRPr="004B3A0C">
        <w:t xml:space="preserve"> for Lifespan Changes in Brain and Cognition.</w:t>
      </w:r>
    </w:p>
    <w:p w14:paraId="5CA0E78C" w14:textId="44993EB1" w:rsidR="001A25F7" w:rsidRPr="004B3A0C" w:rsidRDefault="00385D4B" w:rsidP="00C8750A">
      <w:pPr>
        <w:rPr>
          <w:b/>
          <w:bCs/>
        </w:rPr>
      </w:pPr>
      <w:r w:rsidRPr="004B3A0C">
        <w:br/>
      </w:r>
      <w:r w:rsidRPr="004B3A0C">
        <w:rPr>
          <w:b/>
          <w:bCs/>
        </w:rPr>
        <w:t>Timetable with deliverables / milestones (i.e. data collection, finishing data analyses, writing of article)</w:t>
      </w:r>
      <w:r w:rsidR="00C801DE" w:rsidRPr="004B3A0C">
        <w:rPr>
          <w:b/>
          <w:bCs/>
        </w:rPr>
        <w:t>:</w:t>
      </w:r>
    </w:p>
    <w:p w14:paraId="5ADB1B69" w14:textId="77777777" w:rsidR="001A25F7" w:rsidRPr="004B3A0C" w:rsidRDefault="001A25F7" w:rsidP="00C8750A"/>
    <w:tbl>
      <w:tblPr>
        <w:tblStyle w:val="TableGrid"/>
        <w:tblW w:w="0" w:type="auto"/>
        <w:tblLook w:val="04A0" w:firstRow="1" w:lastRow="0" w:firstColumn="1" w:lastColumn="0" w:noHBand="0" w:noVBand="1"/>
      </w:tblPr>
      <w:tblGrid>
        <w:gridCol w:w="8"/>
        <w:gridCol w:w="1593"/>
        <w:gridCol w:w="1226"/>
        <w:gridCol w:w="976"/>
        <w:gridCol w:w="1212"/>
        <w:gridCol w:w="1187"/>
        <w:gridCol w:w="951"/>
        <w:gridCol w:w="833"/>
        <w:gridCol w:w="715"/>
        <w:gridCol w:w="649"/>
      </w:tblGrid>
      <w:tr w:rsidR="007101AF" w:rsidRPr="004B3A0C" w14:paraId="78B63360" w14:textId="77777777" w:rsidTr="007101AF">
        <w:trPr>
          <w:gridBefore w:val="1"/>
          <w:wBefore w:w="6" w:type="dxa"/>
        </w:trPr>
        <w:tc>
          <w:tcPr>
            <w:tcW w:w="1608" w:type="dxa"/>
          </w:tcPr>
          <w:p w14:paraId="4CE58A06" w14:textId="77777777" w:rsidR="004114FD" w:rsidRPr="004B3A0C" w:rsidRDefault="004114FD" w:rsidP="00C8750A"/>
        </w:tc>
        <w:tc>
          <w:tcPr>
            <w:tcW w:w="1244" w:type="dxa"/>
            <w:tcBorders>
              <w:bottom w:val="single" w:sz="4" w:space="0" w:color="auto"/>
            </w:tcBorders>
          </w:tcPr>
          <w:p w14:paraId="0648A7EC" w14:textId="4B5F5353" w:rsidR="004114FD" w:rsidRPr="004B3A0C" w:rsidRDefault="004114FD" w:rsidP="00C8750A">
            <w:r w:rsidRPr="004B3A0C">
              <w:t>September</w:t>
            </w:r>
          </w:p>
        </w:tc>
        <w:tc>
          <w:tcPr>
            <w:tcW w:w="977" w:type="dxa"/>
            <w:tcBorders>
              <w:bottom w:val="single" w:sz="4" w:space="0" w:color="auto"/>
            </w:tcBorders>
          </w:tcPr>
          <w:p w14:paraId="1CECE83D" w14:textId="5B2DC76E" w:rsidR="004114FD" w:rsidRPr="004B3A0C" w:rsidRDefault="004114FD" w:rsidP="00C8750A">
            <w:r w:rsidRPr="004B3A0C">
              <w:t>October</w:t>
            </w:r>
          </w:p>
        </w:tc>
        <w:tc>
          <w:tcPr>
            <w:tcW w:w="1194" w:type="dxa"/>
          </w:tcPr>
          <w:p w14:paraId="479640C1" w14:textId="3FC34A88" w:rsidR="004114FD" w:rsidRPr="004B3A0C" w:rsidRDefault="004114FD" w:rsidP="00C8750A">
            <w:r w:rsidRPr="004B3A0C">
              <w:t>November</w:t>
            </w:r>
          </w:p>
        </w:tc>
        <w:tc>
          <w:tcPr>
            <w:tcW w:w="1194" w:type="dxa"/>
          </w:tcPr>
          <w:p w14:paraId="6A3F08B9" w14:textId="03C8B044" w:rsidR="004114FD" w:rsidRPr="004B3A0C" w:rsidRDefault="004114FD" w:rsidP="00C8750A">
            <w:r w:rsidRPr="004B3A0C">
              <w:t>December</w:t>
            </w:r>
          </w:p>
        </w:tc>
        <w:tc>
          <w:tcPr>
            <w:tcW w:w="978" w:type="dxa"/>
          </w:tcPr>
          <w:p w14:paraId="0F3E8E88" w14:textId="530B3D28" w:rsidR="004114FD" w:rsidRPr="004B3A0C" w:rsidRDefault="004114FD" w:rsidP="00C8750A">
            <w:r w:rsidRPr="004B3A0C">
              <w:t>January</w:t>
            </w:r>
          </w:p>
        </w:tc>
        <w:tc>
          <w:tcPr>
            <w:tcW w:w="825" w:type="dxa"/>
          </w:tcPr>
          <w:p w14:paraId="6DEEAB67" w14:textId="7B4951BE" w:rsidR="004114FD" w:rsidRPr="004B3A0C" w:rsidRDefault="004114FD" w:rsidP="00C8750A">
            <w:r w:rsidRPr="004B3A0C">
              <w:t>March</w:t>
            </w:r>
          </w:p>
        </w:tc>
        <w:tc>
          <w:tcPr>
            <w:tcW w:w="673" w:type="dxa"/>
          </w:tcPr>
          <w:p w14:paraId="783290DD" w14:textId="2DF023E6" w:rsidR="004114FD" w:rsidRPr="004B3A0C" w:rsidRDefault="004114FD" w:rsidP="00C8750A">
            <w:r w:rsidRPr="004B3A0C">
              <w:t>April</w:t>
            </w:r>
          </w:p>
        </w:tc>
        <w:tc>
          <w:tcPr>
            <w:tcW w:w="651" w:type="dxa"/>
          </w:tcPr>
          <w:p w14:paraId="46EC77A1" w14:textId="2C5D993D" w:rsidR="004114FD" w:rsidRPr="004B3A0C" w:rsidRDefault="004114FD" w:rsidP="00C8750A">
            <w:r w:rsidRPr="004B3A0C">
              <w:t>May</w:t>
            </w:r>
          </w:p>
        </w:tc>
      </w:tr>
      <w:tr w:rsidR="007101AF" w:rsidRPr="004B3A0C" w14:paraId="6D277704" w14:textId="77777777" w:rsidTr="007101AF">
        <w:trPr>
          <w:gridBefore w:val="1"/>
          <w:wBefore w:w="6" w:type="dxa"/>
        </w:trPr>
        <w:tc>
          <w:tcPr>
            <w:tcW w:w="1608" w:type="dxa"/>
          </w:tcPr>
          <w:p w14:paraId="00DDEC8E" w14:textId="0E597342" w:rsidR="004114FD" w:rsidRPr="004B3A0C" w:rsidRDefault="004114FD" w:rsidP="00C8750A">
            <w:r w:rsidRPr="004B3A0C">
              <w:t>Literature review and planning</w:t>
            </w:r>
          </w:p>
        </w:tc>
        <w:tc>
          <w:tcPr>
            <w:tcW w:w="1244" w:type="dxa"/>
            <w:shd w:val="clear" w:color="auto" w:fill="ADADAD" w:themeFill="background2" w:themeFillShade="BF"/>
          </w:tcPr>
          <w:p w14:paraId="49A67272" w14:textId="77777777" w:rsidR="004114FD" w:rsidRPr="004B3A0C" w:rsidRDefault="004114FD" w:rsidP="00C8750A"/>
        </w:tc>
        <w:tc>
          <w:tcPr>
            <w:tcW w:w="977" w:type="dxa"/>
            <w:tcBorders>
              <w:bottom w:val="single" w:sz="4" w:space="0" w:color="auto"/>
            </w:tcBorders>
            <w:shd w:val="clear" w:color="auto" w:fill="ADADAD" w:themeFill="background2" w:themeFillShade="BF"/>
          </w:tcPr>
          <w:p w14:paraId="5CC8AEAB" w14:textId="2C5EBDDC" w:rsidR="004114FD" w:rsidRPr="004B3A0C" w:rsidRDefault="004114FD" w:rsidP="00C8750A"/>
        </w:tc>
        <w:tc>
          <w:tcPr>
            <w:tcW w:w="1194" w:type="dxa"/>
            <w:tcBorders>
              <w:bottom w:val="single" w:sz="4" w:space="0" w:color="auto"/>
            </w:tcBorders>
          </w:tcPr>
          <w:p w14:paraId="19E1C0F9" w14:textId="77777777" w:rsidR="004114FD" w:rsidRPr="004B3A0C" w:rsidRDefault="004114FD" w:rsidP="00C8750A"/>
        </w:tc>
        <w:tc>
          <w:tcPr>
            <w:tcW w:w="1194" w:type="dxa"/>
          </w:tcPr>
          <w:p w14:paraId="04B4D026" w14:textId="77777777" w:rsidR="004114FD" w:rsidRPr="004B3A0C" w:rsidRDefault="004114FD" w:rsidP="00C8750A"/>
        </w:tc>
        <w:tc>
          <w:tcPr>
            <w:tcW w:w="978" w:type="dxa"/>
          </w:tcPr>
          <w:p w14:paraId="27A2046B" w14:textId="77777777" w:rsidR="004114FD" w:rsidRPr="004B3A0C" w:rsidRDefault="004114FD" w:rsidP="00C8750A"/>
        </w:tc>
        <w:tc>
          <w:tcPr>
            <w:tcW w:w="825" w:type="dxa"/>
          </w:tcPr>
          <w:p w14:paraId="0D9042B5" w14:textId="77777777" w:rsidR="004114FD" w:rsidRPr="004B3A0C" w:rsidRDefault="004114FD" w:rsidP="00C8750A"/>
        </w:tc>
        <w:tc>
          <w:tcPr>
            <w:tcW w:w="673" w:type="dxa"/>
          </w:tcPr>
          <w:p w14:paraId="725BD851" w14:textId="77777777" w:rsidR="004114FD" w:rsidRPr="004B3A0C" w:rsidRDefault="004114FD" w:rsidP="00C8750A"/>
        </w:tc>
        <w:tc>
          <w:tcPr>
            <w:tcW w:w="651" w:type="dxa"/>
          </w:tcPr>
          <w:p w14:paraId="48868EF7" w14:textId="77777777" w:rsidR="004114FD" w:rsidRPr="004B3A0C" w:rsidRDefault="004114FD" w:rsidP="00C8750A"/>
        </w:tc>
      </w:tr>
      <w:tr w:rsidR="007101AF" w:rsidRPr="004B3A0C" w14:paraId="05E60835" w14:textId="77777777" w:rsidTr="007101AF">
        <w:trPr>
          <w:gridBefore w:val="1"/>
          <w:wBefore w:w="6" w:type="dxa"/>
        </w:trPr>
        <w:tc>
          <w:tcPr>
            <w:tcW w:w="1608" w:type="dxa"/>
          </w:tcPr>
          <w:p w14:paraId="1E0DB3C4" w14:textId="585904AB" w:rsidR="004114FD" w:rsidRPr="004B3A0C" w:rsidRDefault="004114FD" w:rsidP="00C8750A">
            <w:r w:rsidRPr="004B3A0C">
              <w:t>Data preprocessing/ cleaning</w:t>
            </w:r>
          </w:p>
        </w:tc>
        <w:tc>
          <w:tcPr>
            <w:tcW w:w="1244" w:type="dxa"/>
          </w:tcPr>
          <w:p w14:paraId="2821FD1E" w14:textId="77777777" w:rsidR="004114FD" w:rsidRPr="004B3A0C" w:rsidRDefault="004114FD" w:rsidP="00C8750A"/>
        </w:tc>
        <w:tc>
          <w:tcPr>
            <w:tcW w:w="977" w:type="dxa"/>
            <w:shd w:val="clear" w:color="auto" w:fill="ADADAD" w:themeFill="background2" w:themeFillShade="BF"/>
          </w:tcPr>
          <w:p w14:paraId="0EB61B7B" w14:textId="11814ADF" w:rsidR="004114FD" w:rsidRPr="004B3A0C" w:rsidRDefault="004114FD" w:rsidP="00C8750A"/>
        </w:tc>
        <w:tc>
          <w:tcPr>
            <w:tcW w:w="1194" w:type="dxa"/>
            <w:shd w:val="clear" w:color="auto" w:fill="ADADAD" w:themeFill="background2" w:themeFillShade="BF"/>
          </w:tcPr>
          <w:p w14:paraId="7B48F6C7" w14:textId="77777777" w:rsidR="004114FD" w:rsidRPr="004B3A0C" w:rsidRDefault="004114FD" w:rsidP="00C8750A"/>
        </w:tc>
        <w:tc>
          <w:tcPr>
            <w:tcW w:w="1194" w:type="dxa"/>
            <w:tcBorders>
              <w:bottom w:val="single" w:sz="4" w:space="0" w:color="auto"/>
            </w:tcBorders>
          </w:tcPr>
          <w:p w14:paraId="393019DE" w14:textId="77777777" w:rsidR="004114FD" w:rsidRPr="004B3A0C" w:rsidRDefault="004114FD" w:rsidP="00C8750A"/>
        </w:tc>
        <w:tc>
          <w:tcPr>
            <w:tcW w:w="978" w:type="dxa"/>
            <w:tcBorders>
              <w:bottom w:val="single" w:sz="4" w:space="0" w:color="auto"/>
            </w:tcBorders>
          </w:tcPr>
          <w:p w14:paraId="055D30F2" w14:textId="77777777" w:rsidR="004114FD" w:rsidRPr="004B3A0C" w:rsidRDefault="004114FD" w:rsidP="00C8750A"/>
        </w:tc>
        <w:tc>
          <w:tcPr>
            <w:tcW w:w="825" w:type="dxa"/>
          </w:tcPr>
          <w:p w14:paraId="632B587A" w14:textId="77777777" w:rsidR="004114FD" w:rsidRPr="004B3A0C" w:rsidRDefault="004114FD" w:rsidP="00C8750A"/>
        </w:tc>
        <w:tc>
          <w:tcPr>
            <w:tcW w:w="673" w:type="dxa"/>
          </w:tcPr>
          <w:p w14:paraId="10EE32BD" w14:textId="77777777" w:rsidR="004114FD" w:rsidRPr="004B3A0C" w:rsidRDefault="004114FD" w:rsidP="00C8750A"/>
        </w:tc>
        <w:tc>
          <w:tcPr>
            <w:tcW w:w="651" w:type="dxa"/>
          </w:tcPr>
          <w:p w14:paraId="1D1D3E26" w14:textId="77777777" w:rsidR="004114FD" w:rsidRPr="004B3A0C" w:rsidRDefault="004114FD" w:rsidP="00C8750A"/>
        </w:tc>
      </w:tr>
      <w:tr w:rsidR="007101AF" w:rsidRPr="004B3A0C" w14:paraId="3E974657" w14:textId="77777777" w:rsidTr="007101AF">
        <w:trPr>
          <w:gridBefore w:val="1"/>
          <w:wBefore w:w="6" w:type="dxa"/>
        </w:trPr>
        <w:tc>
          <w:tcPr>
            <w:tcW w:w="1608" w:type="dxa"/>
          </w:tcPr>
          <w:p w14:paraId="64D588E8" w14:textId="0435643A" w:rsidR="004114FD" w:rsidRPr="004B3A0C" w:rsidRDefault="004114FD" w:rsidP="00C8750A">
            <w:r w:rsidRPr="004B3A0C">
              <w:t>Data analysis</w:t>
            </w:r>
          </w:p>
        </w:tc>
        <w:tc>
          <w:tcPr>
            <w:tcW w:w="1244" w:type="dxa"/>
            <w:tcBorders>
              <w:bottom w:val="single" w:sz="4" w:space="0" w:color="auto"/>
            </w:tcBorders>
          </w:tcPr>
          <w:p w14:paraId="5EC59AF0" w14:textId="77777777" w:rsidR="004114FD" w:rsidRPr="004B3A0C" w:rsidRDefault="004114FD" w:rsidP="00C8750A"/>
        </w:tc>
        <w:tc>
          <w:tcPr>
            <w:tcW w:w="977" w:type="dxa"/>
            <w:tcBorders>
              <w:bottom w:val="single" w:sz="4" w:space="0" w:color="auto"/>
            </w:tcBorders>
          </w:tcPr>
          <w:p w14:paraId="6EF21A33" w14:textId="3AF832E7" w:rsidR="004114FD" w:rsidRPr="004B3A0C" w:rsidRDefault="004114FD" w:rsidP="00C8750A"/>
        </w:tc>
        <w:tc>
          <w:tcPr>
            <w:tcW w:w="1194" w:type="dxa"/>
            <w:tcBorders>
              <w:bottom w:val="single" w:sz="4" w:space="0" w:color="auto"/>
            </w:tcBorders>
          </w:tcPr>
          <w:p w14:paraId="58E40246" w14:textId="77777777" w:rsidR="004114FD" w:rsidRPr="004B3A0C" w:rsidRDefault="004114FD" w:rsidP="00C8750A"/>
        </w:tc>
        <w:tc>
          <w:tcPr>
            <w:tcW w:w="1194" w:type="dxa"/>
            <w:tcBorders>
              <w:bottom w:val="single" w:sz="4" w:space="0" w:color="auto"/>
            </w:tcBorders>
            <w:shd w:val="clear" w:color="auto" w:fill="ADADAD" w:themeFill="background2" w:themeFillShade="BF"/>
          </w:tcPr>
          <w:p w14:paraId="3E3818E9"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0920888D" w14:textId="77777777" w:rsidR="004114FD" w:rsidRPr="004B3A0C" w:rsidRDefault="004114FD" w:rsidP="00C8750A"/>
        </w:tc>
        <w:tc>
          <w:tcPr>
            <w:tcW w:w="825" w:type="dxa"/>
            <w:tcBorders>
              <w:bottom w:val="single" w:sz="4" w:space="0" w:color="auto"/>
            </w:tcBorders>
          </w:tcPr>
          <w:p w14:paraId="40233DE6" w14:textId="77777777" w:rsidR="004114FD" w:rsidRPr="004B3A0C" w:rsidRDefault="004114FD" w:rsidP="00C8750A"/>
        </w:tc>
        <w:tc>
          <w:tcPr>
            <w:tcW w:w="673" w:type="dxa"/>
          </w:tcPr>
          <w:p w14:paraId="230A6EA2" w14:textId="77777777" w:rsidR="004114FD" w:rsidRPr="004B3A0C" w:rsidRDefault="004114FD" w:rsidP="00C8750A"/>
        </w:tc>
        <w:tc>
          <w:tcPr>
            <w:tcW w:w="651" w:type="dxa"/>
          </w:tcPr>
          <w:p w14:paraId="6242FAAA" w14:textId="77777777" w:rsidR="004114FD" w:rsidRPr="004B3A0C" w:rsidRDefault="004114FD" w:rsidP="00C8750A"/>
        </w:tc>
      </w:tr>
      <w:tr w:rsidR="004B3A0C" w:rsidRPr="004B3A0C" w14:paraId="77EC7CEF" w14:textId="77777777" w:rsidTr="007101AF">
        <w:tc>
          <w:tcPr>
            <w:tcW w:w="1614" w:type="dxa"/>
            <w:gridSpan w:val="2"/>
          </w:tcPr>
          <w:p w14:paraId="2F3377B2" w14:textId="77777777" w:rsidR="007101AF" w:rsidRPr="004B3A0C" w:rsidRDefault="007101AF" w:rsidP="006B5977">
            <w:r w:rsidRPr="004B3A0C">
              <w:t>Outline</w:t>
            </w:r>
          </w:p>
        </w:tc>
        <w:tc>
          <w:tcPr>
            <w:tcW w:w="1244" w:type="dxa"/>
            <w:shd w:val="clear" w:color="auto" w:fill="ADADAD" w:themeFill="background2" w:themeFillShade="BF"/>
          </w:tcPr>
          <w:p w14:paraId="6483C21A" w14:textId="77777777" w:rsidR="007101AF" w:rsidRPr="004B3A0C" w:rsidRDefault="007101AF" w:rsidP="006B5977"/>
        </w:tc>
        <w:tc>
          <w:tcPr>
            <w:tcW w:w="977" w:type="dxa"/>
            <w:shd w:val="clear" w:color="auto" w:fill="ADADAD" w:themeFill="background2" w:themeFillShade="BF"/>
          </w:tcPr>
          <w:p w14:paraId="2DBA4281" w14:textId="77777777" w:rsidR="007101AF" w:rsidRPr="004B3A0C" w:rsidRDefault="007101AF" w:rsidP="006B5977"/>
        </w:tc>
        <w:tc>
          <w:tcPr>
            <w:tcW w:w="1194" w:type="dxa"/>
            <w:shd w:val="clear" w:color="auto" w:fill="ADADAD" w:themeFill="background2" w:themeFillShade="BF"/>
          </w:tcPr>
          <w:p w14:paraId="5D960748" w14:textId="77777777" w:rsidR="007101AF" w:rsidRPr="004B3A0C" w:rsidRDefault="007101AF" w:rsidP="006B5977"/>
        </w:tc>
        <w:tc>
          <w:tcPr>
            <w:tcW w:w="1194" w:type="dxa"/>
            <w:tcBorders>
              <w:bottom w:val="single" w:sz="4" w:space="0" w:color="auto"/>
            </w:tcBorders>
            <w:shd w:val="clear" w:color="auto" w:fill="auto"/>
          </w:tcPr>
          <w:p w14:paraId="5FA24CBD" w14:textId="77777777" w:rsidR="007101AF" w:rsidRPr="004B3A0C" w:rsidRDefault="007101AF" w:rsidP="006B5977"/>
        </w:tc>
        <w:tc>
          <w:tcPr>
            <w:tcW w:w="978" w:type="dxa"/>
            <w:tcBorders>
              <w:bottom w:val="single" w:sz="4" w:space="0" w:color="auto"/>
            </w:tcBorders>
            <w:shd w:val="clear" w:color="auto" w:fill="auto"/>
          </w:tcPr>
          <w:p w14:paraId="7066EAF7" w14:textId="77777777" w:rsidR="007101AF" w:rsidRPr="004B3A0C" w:rsidRDefault="007101AF" w:rsidP="006B5977"/>
        </w:tc>
        <w:tc>
          <w:tcPr>
            <w:tcW w:w="825" w:type="dxa"/>
            <w:shd w:val="clear" w:color="auto" w:fill="auto"/>
          </w:tcPr>
          <w:p w14:paraId="3750ECAF" w14:textId="77777777" w:rsidR="007101AF" w:rsidRPr="004B3A0C" w:rsidRDefault="007101AF" w:rsidP="006B5977"/>
        </w:tc>
        <w:tc>
          <w:tcPr>
            <w:tcW w:w="673" w:type="dxa"/>
            <w:tcBorders>
              <w:bottom w:val="single" w:sz="4" w:space="0" w:color="auto"/>
            </w:tcBorders>
          </w:tcPr>
          <w:p w14:paraId="3694BF14" w14:textId="77777777" w:rsidR="007101AF" w:rsidRPr="004B3A0C" w:rsidRDefault="007101AF" w:rsidP="006B5977"/>
        </w:tc>
        <w:tc>
          <w:tcPr>
            <w:tcW w:w="651" w:type="dxa"/>
          </w:tcPr>
          <w:p w14:paraId="03734360" w14:textId="77777777" w:rsidR="007101AF" w:rsidRPr="004B3A0C" w:rsidRDefault="007101AF" w:rsidP="006B5977"/>
        </w:tc>
      </w:tr>
      <w:tr w:rsidR="007101AF" w:rsidRPr="004B3A0C" w14:paraId="13C59424" w14:textId="77777777" w:rsidTr="007101AF">
        <w:trPr>
          <w:gridBefore w:val="1"/>
          <w:wBefore w:w="6" w:type="dxa"/>
        </w:trPr>
        <w:tc>
          <w:tcPr>
            <w:tcW w:w="1608" w:type="dxa"/>
          </w:tcPr>
          <w:p w14:paraId="4C7257BD" w14:textId="23C17F1B" w:rsidR="004114FD" w:rsidRPr="004B3A0C" w:rsidRDefault="004114FD" w:rsidP="00C8750A">
            <w:r w:rsidRPr="004B3A0C">
              <w:t>Model evaluation</w:t>
            </w:r>
          </w:p>
        </w:tc>
        <w:tc>
          <w:tcPr>
            <w:tcW w:w="1244" w:type="dxa"/>
          </w:tcPr>
          <w:p w14:paraId="6E232424" w14:textId="77777777" w:rsidR="004114FD" w:rsidRPr="004B3A0C" w:rsidRDefault="004114FD" w:rsidP="00C8750A"/>
        </w:tc>
        <w:tc>
          <w:tcPr>
            <w:tcW w:w="977" w:type="dxa"/>
          </w:tcPr>
          <w:p w14:paraId="599CC939" w14:textId="5DD5CCEA" w:rsidR="004114FD" w:rsidRPr="004B3A0C" w:rsidRDefault="004114FD" w:rsidP="00C8750A"/>
        </w:tc>
        <w:tc>
          <w:tcPr>
            <w:tcW w:w="1194" w:type="dxa"/>
          </w:tcPr>
          <w:p w14:paraId="6EE06832" w14:textId="77777777" w:rsidR="004114FD" w:rsidRPr="004B3A0C" w:rsidRDefault="004114FD" w:rsidP="00C8750A"/>
        </w:tc>
        <w:tc>
          <w:tcPr>
            <w:tcW w:w="1194" w:type="dxa"/>
            <w:shd w:val="clear" w:color="auto" w:fill="auto"/>
          </w:tcPr>
          <w:p w14:paraId="320A33DC"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4C7455C3" w14:textId="77777777" w:rsidR="004114FD" w:rsidRPr="004B3A0C" w:rsidRDefault="004114FD" w:rsidP="00C8750A"/>
        </w:tc>
        <w:tc>
          <w:tcPr>
            <w:tcW w:w="825" w:type="dxa"/>
          </w:tcPr>
          <w:p w14:paraId="260B07B0" w14:textId="77777777" w:rsidR="004114FD" w:rsidRPr="004B3A0C" w:rsidRDefault="004114FD" w:rsidP="00C8750A"/>
        </w:tc>
        <w:tc>
          <w:tcPr>
            <w:tcW w:w="673" w:type="dxa"/>
          </w:tcPr>
          <w:p w14:paraId="1032A95B" w14:textId="77777777" w:rsidR="004114FD" w:rsidRPr="004B3A0C" w:rsidRDefault="004114FD" w:rsidP="00C8750A"/>
        </w:tc>
        <w:tc>
          <w:tcPr>
            <w:tcW w:w="651" w:type="dxa"/>
          </w:tcPr>
          <w:p w14:paraId="0297C74D" w14:textId="77777777" w:rsidR="004114FD" w:rsidRPr="004B3A0C" w:rsidRDefault="004114FD" w:rsidP="00C8750A"/>
        </w:tc>
      </w:tr>
      <w:tr w:rsidR="007101AF" w:rsidRPr="004B3A0C" w14:paraId="198B67AA" w14:textId="77777777" w:rsidTr="007101AF">
        <w:trPr>
          <w:gridBefore w:val="1"/>
          <w:wBefore w:w="6" w:type="dxa"/>
        </w:trPr>
        <w:tc>
          <w:tcPr>
            <w:tcW w:w="1608" w:type="dxa"/>
          </w:tcPr>
          <w:p w14:paraId="1DD0E147" w14:textId="63427356" w:rsidR="004114FD" w:rsidRPr="004B3A0C" w:rsidRDefault="004114FD" w:rsidP="00C8750A">
            <w:r w:rsidRPr="004B3A0C">
              <w:t xml:space="preserve">Results </w:t>
            </w:r>
          </w:p>
        </w:tc>
        <w:tc>
          <w:tcPr>
            <w:tcW w:w="1244" w:type="dxa"/>
            <w:tcBorders>
              <w:bottom w:val="single" w:sz="4" w:space="0" w:color="auto"/>
            </w:tcBorders>
          </w:tcPr>
          <w:p w14:paraId="71D5DD93" w14:textId="77777777" w:rsidR="004114FD" w:rsidRPr="004B3A0C" w:rsidRDefault="004114FD" w:rsidP="00C8750A"/>
        </w:tc>
        <w:tc>
          <w:tcPr>
            <w:tcW w:w="977" w:type="dxa"/>
            <w:tcBorders>
              <w:bottom w:val="single" w:sz="4" w:space="0" w:color="auto"/>
            </w:tcBorders>
          </w:tcPr>
          <w:p w14:paraId="715F341C" w14:textId="552E71F0" w:rsidR="004114FD" w:rsidRPr="004B3A0C" w:rsidRDefault="004114FD" w:rsidP="00C8750A"/>
        </w:tc>
        <w:tc>
          <w:tcPr>
            <w:tcW w:w="1194" w:type="dxa"/>
            <w:tcBorders>
              <w:bottom w:val="single" w:sz="4" w:space="0" w:color="auto"/>
            </w:tcBorders>
          </w:tcPr>
          <w:p w14:paraId="6C5F15C6" w14:textId="77777777" w:rsidR="004114FD" w:rsidRPr="004B3A0C" w:rsidRDefault="004114FD" w:rsidP="00C8750A"/>
        </w:tc>
        <w:tc>
          <w:tcPr>
            <w:tcW w:w="1194" w:type="dxa"/>
            <w:tcBorders>
              <w:bottom w:val="single" w:sz="4" w:space="0" w:color="auto"/>
            </w:tcBorders>
          </w:tcPr>
          <w:p w14:paraId="16D333A9"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3F718F12" w14:textId="77777777" w:rsidR="004114FD" w:rsidRPr="004B3A0C" w:rsidRDefault="004114FD" w:rsidP="00C8750A"/>
        </w:tc>
        <w:tc>
          <w:tcPr>
            <w:tcW w:w="825" w:type="dxa"/>
            <w:tcBorders>
              <w:bottom w:val="single" w:sz="4" w:space="0" w:color="auto"/>
            </w:tcBorders>
          </w:tcPr>
          <w:p w14:paraId="028A739E" w14:textId="77777777" w:rsidR="004114FD" w:rsidRPr="004B3A0C" w:rsidRDefault="004114FD" w:rsidP="00C8750A"/>
        </w:tc>
        <w:tc>
          <w:tcPr>
            <w:tcW w:w="673" w:type="dxa"/>
            <w:tcBorders>
              <w:bottom w:val="single" w:sz="4" w:space="0" w:color="auto"/>
            </w:tcBorders>
          </w:tcPr>
          <w:p w14:paraId="14823238" w14:textId="77777777" w:rsidR="004114FD" w:rsidRPr="004B3A0C" w:rsidRDefault="004114FD" w:rsidP="00C8750A"/>
        </w:tc>
        <w:tc>
          <w:tcPr>
            <w:tcW w:w="651" w:type="dxa"/>
            <w:tcBorders>
              <w:bottom w:val="single" w:sz="4" w:space="0" w:color="auto"/>
            </w:tcBorders>
          </w:tcPr>
          <w:p w14:paraId="61CD3C33" w14:textId="77777777" w:rsidR="004114FD" w:rsidRPr="004B3A0C" w:rsidRDefault="004114FD" w:rsidP="00C8750A"/>
        </w:tc>
      </w:tr>
      <w:tr w:rsidR="004114FD" w:rsidRPr="004B3A0C" w14:paraId="4EEF055E" w14:textId="77777777" w:rsidTr="007101AF">
        <w:trPr>
          <w:gridBefore w:val="1"/>
          <w:wBefore w:w="6" w:type="dxa"/>
        </w:trPr>
        <w:tc>
          <w:tcPr>
            <w:tcW w:w="1608" w:type="dxa"/>
          </w:tcPr>
          <w:p w14:paraId="1414B742" w14:textId="3BD7134E" w:rsidR="004114FD" w:rsidRPr="004B3A0C" w:rsidRDefault="004114FD" w:rsidP="00C8750A">
            <w:r w:rsidRPr="004B3A0C">
              <w:t>Writing</w:t>
            </w:r>
          </w:p>
        </w:tc>
        <w:tc>
          <w:tcPr>
            <w:tcW w:w="1244" w:type="dxa"/>
            <w:shd w:val="clear" w:color="auto" w:fill="ADADAD" w:themeFill="background2" w:themeFillShade="BF"/>
          </w:tcPr>
          <w:p w14:paraId="503D9006" w14:textId="77777777" w:rsidR="004114FD" w:rsidRPr="004B3A0C" w:rsidRDefault="004114FD" w:rsidP="00C8750A"/>
        </w:tc>
        <w:tc>
          <w:tcPr>
            <w:tcW w:w="977" w:type="dxa"/>
            <w:shd w:val="clear" w:color="auto" w:fill="ADADAD" w:themeFill="background2" w:themeFillShade="BF"/>
          </w:tcPr>
          <w:p w14:paraId="79C711ED" w14:textId="34A244FE" w:rsidR="004114FD" w:rsidRPr="004B3A0C" w:rsidRDefault="004114FD" w:rsidP="00C8750A"/>
        </w:tc>
        <w:tc>
          <w:tcPr>
            <w:tcW w:w="1194" w:type="dxa"/>
            <w:shd w:val="clear" w:color="auto" w:fill="ADADAD" w:themeFill="background2" w:themeFillShade="BF"/>
          </w:tcPr>
          <w:p w14:paraId="65079EB7" w14:textId="77777777" w:rsidR="004114FD" w:rsidRPr="004B3A0C" w:rsidRDefault="004114FD" w:rsidP="00C8750A"/>
        </w:tc>
        <w:tc>
          <w:tcPr>
            <w:tcW w:w="1194" w:type="dxa"/>
            <w:shd w:val="clear" w:color="auto" w:fill="ADADAD" w:themeFill="background2" w:themeFillShade="BF"/>
          </w:tcPr>
          <w:p w14:paraId="7060C8CA" w14:textId="77777777" w:rsidR="004114FD" w:rsidRPr="004B3A0C" w:rsidRDefault="004114FD" w:rsidP="00C8750A"/>
        </w:tc>
        <w:tc>
          <w:tcPr>
            <w:tcW w:w="978" w:type="dxa"/>
            <w:shd w:val="clear" w:color="auto" w:fill="ADADAD" w:themeFill="background2" w:themeFillShade="BF"/>
          </w:tcPr>
          <w:p w14:paraId="4C03E651" w14:textId="77777777" w:rsidR="004114FD" w:rsidRPr="004B3A0C" w:rsidRDefault="004114FD" w:rsidP="00C8750A"/>
        </w:tc>
        <w:tc>
          <w:tcPr>
            <w:tcW w:w="825" w:type="dxa"/>
            <w:tcBorders>
              <w:bottom w:val="single" w:sz="4" w:space="0" w:color="auto"/>
            </w:tcBorders>
            <w:shd w:val="clear" w:color="auto" w:fill="ADADAD" w:themeFill="background2" w:themeFillShade="BF"/>
          </w:tcPr>
          <w:p w14:paraId="4CA791B5" w14:textId="77777777" w:rsidR="004114FD" w:rsidRPr="004B3A0C" w:rsidRDefault="004114FD" w:rsidP="00C8750A"/>
        </w:tc>
        <w:tc>
          <w:tcPr>
            <w:tcW w:w="673" w:type="dxa"/>
            <w:shd w:val="clear" w:color="auto" w:fill="ADADAD" w:themeFill="background2" w:themeFillShade="BF"/>
          </w:tcPr>
          <w:p w14:paraId="538DB641" w14:textId="77777777" w:rsidR="004114FD" w:rsidRPr="004B3A0C" w:rsidRDefault="004114FD" w:rsidP="00C8750A"/>
        </w:tc>
        <w:tc>
          <w:tcPr>
            <w:tcW w:w="651" w:type="dxa"/>
            <w:shd w:val="clear" w:color="auto" w:fill="ADADAD" w:themeFill="background2" w:themeFillShade="BF"/>
          </w:tcPr>
          <w:p w14:paraId="7E95ABDC" w14:textId="77777777" w:rsidR="004114FD" w:rsidRPr="004B3A0C" w:rsidRDefault="004114FD" w:rsidP="00C8750A"/>
        </w:tc>
      </w:tr>
      <w:tr w:rsidR="007101AF" w:rsidRPr="004B3A0C" w14:paraId="0E73A3F9" w14:textId="77777777" w:rsidTr="007101AF">
        <w:trPr>
          <w:gridBefore w:val="1"/>
          <w:wBefore w:w="6" w:type="dxa"/>
        </w:trPr>
        <w:tc>
          <w:tcPr>
            <w:tcW w:w="1608" w:type="dxa"/>
          </w:tcPr>
          <w:p w14:paraId="4B9320C2" w14:textId="331A23A1" w:rsidR="004114FD" w:rsidRPr="004B3A0C" w:rsidRDefault="004114FD" w:rsidP="00C8750A">
            <w:r w:rsidRPr="004B3A0C">
              <w:t>First draft</w:t>
            </w:r>
          </w:p>
        </w:tc>
        <w:tc>
          <w:tcPr>
            <w:tcW w:w="1244" w:type="dxa"/>
          </w:tcPr>
          <w:p w14:paraId="1941E601" w14:textId="77777777" w:rsidR="004114FD" w:rsidRPr="004B3A0C" w:rsidRDefault="004114FD" w:rsidP="00C8750A"/>
        </w:tc>
        <w:tc>
          <w:tcPr>
            <w:tcW w:w="977" w:type="dxa"/>
          </w:tcPr>
          <w:p w14:paraId="665C7DC7" w14:textId="4CC4140C" w:rsidR="004114FD" w:rsidRPr="004B3A0C" w:rsidRDefault="004114FD" w:rsidP="00C8750A"/>
        </w:tc>
        <w:tc>
          <w:tcPr>
            <w:tcW w:w="1194" w:type="dxa"/>
          </w:tcPr>
          <w:p w14:paraId="05522A31" w14:textId="77777777" w:rsidR="004114FD" w:rsidRPr="004B3A0C" w:rsidRDefault="004114FD" w:rsidP="00C8750A"/>
        </w:tc>
        <w:tc>
          <w:tcPr>
            <w:tcW w:w="1194" w:type="dxa"/>
          </w:tcPr>
          <w:p w14:paraId="3C2946AF" w14:textId="77777777" w:rsidR="004114FD" w:rsidRPr="004B3A0C" w:rsidRDefault="004114FD" w:rsidP="00C8750A"/>
        </w:tc>
        <w:tc>
          <w:tcPr>
            <w:tcW w:w="978" w:type="dxa"/>
          </w:tcPr>
          <w:p w14:paraId="168979D9" w14:textId="77777777" w:rsidR="004114FD" w:rsidRPr="004B3A0C" w:rsidRDefault="004114FD" w:rsidP="00C8750A"/>
        </w:tc>
        <w:tc>
          <w:tcPr>
            <w:tcW w:w="825" w:type="dxa"/>
          </w:tcPr>
          <w:p w14:paraId="33143E3E" w14:textId="77777777" w:rsidR="004114FD" w:rsidRPr="004B3A0C" w:rsidRDefault="004114FD" w:rsidP="00C8750A"/>
        </w:tc>
        <w:tc>
          <w:tcPr>
            <w:tcW w:w="673" w:type="dxa"/>
            <w:tcBorders>
              <w:bottom w:val="single" w:sz="4" w:space="0" w:color="auto"/>
            </w:tcBorders>
            <w:shd w:val="clear" w:color="auto" w:fill="ADADAD" w:themeFill="background2" w:themeFillShade="BF"/>
          </w:tcPr>
          <w:p w14:paraId="2AA4A425" w14:textId="77777777" w:rsidR="004114FD" w:rsidRPr="004B3A0C" w:rsidRDefault="004114FD" w:rsidP="00C8750A"/>
        </w:tc>
        <w:tc>
          <w:tcPr>
            <w:tcW w:w="651" w:type="dxa"/>
            <w:tcBorders>
              <w:bottom w:val="single" w:sz="4" w:space="0" w:color="auto"/>
            </w:tcBorders>
          </w:tcPr>
          <w:p w14:paraId="0939EE32" w14:textId="77777777" w:rsidR="004114FD" w:rsidRPr="004B3A0C" w:rsidRDefault="004114FD" w:rsidP="00C8750A"/>
        </w:tc>
      </w:tr>
      <w:tr w:rsidR="007101AF" w:rsidRPr="004B3A0C" w14:paraId="2EC9B5B6" w14:textId="77777777" w:rsidTr="007101AF">
        <w:trPr>
          <w:gridBefore w:val="1"/>
          <w:wBefore w:w="6" w:type="dxa"/>
        </w:trPr>
        <w:tc>
          <w:tcPr>
            <w:tcW w:w="1608" w:type="dxa"/>
          </w:tcPr>
          <w:p w14:paraId="7E1A6C75" w14:textId="08DB2423" w:rsidR="004114FD" w:rsidRPr="004B3A0C" w:rsidRDefault="004114FD" w:rsidP="00C8750A">
            <w:r w:rsidRPr="004B3A0C">
              <w:t>Final draft</w:t>
            </w:r>
          </w:p>
        </w:tc>
        <w:tc>
          <w:tcPr>
            <w:tcW w:w="1244" w:type="dxa"/>
          </w:tcPr>
          <w:p w14:paraId="7022EC09" w14:textId="77777777" w:rsidR="004114FD" w:rsidRPr="004B3A0C" w:rsidRDefault="004114FD" w:rsidP="00C8750A"/>
        </w:tc>
        <w:tc>
          <w:tcPr>
            <w:tcW w:w="977" w:type="dxa"/>
          </w:tcPr>
          <w:p w14:paraId="56BFAFCD" w14:textId="10217F72" w:rsidR="004114FD" w:rsidRPr="004B3A0C" w:rsidRDefault="004114FD" w:rsidP="00C8750A"/>
        </w:tc>
        <w:tc>
          <w:tcPr>
            <w:tcW w:w="1194" w:type="dxa"/>
          </w:tcPr>
          <w:p w14:paraId="12C82983" w14:textId="77777777" w:rsidR="004114FD" w:rsidRPr="004B3A0C" w:rsidRDefault="004114FD" w:rsidP="00C8750A"/>
        </w:tc>
        <w:tc>
          <w:tcPr>
            <w:tcW w:w="1194" w:type="dxa"/>
          </w:tcPr>
          <w:p w14:paraId="23ED387E" w14:textId="77777777" w:rsidR="004114FD" w:rsidRPr="004B3A0C" w:rsidRDefault="004114FD" w:rsidP="00C8750A"/>
        </w:tc>
        <w:tc>
          <w:tcPr>
            <w:tcW w:w="978" w:type="dxa"/>
          </w:tcPr>
          <w:p w14:paraId="5E9D1290" w14:textId="77777777" w:rsidR="004114FD" w:rsidRPr="004B3A0C" w:rsidRDefault="004114FD" w:rsidP="00C8750A"/>
        </w:tc>
        <w:tc>
          <w:tcPr>
            <w:tcW w:w="825" w:type="dxa"/>
          </w:tcPr>
          <w:p w14:paraId="4ADE0184" w14:textId="77777777" w:rsidR="004114FD" w:rsidRPr="004B3A0C" w:rsidRDefault="004114FD" w:rsidP="00C8750A"/>
        </w:tc>
        <w:tc>
          <w:tcPr>
            <w:tcW w:w="673" w:type="dxa"/>
            <w:shd w:val="clear" w:color="auto" w:fill="ADADAD" w:themeFill="background2" w:themeFillShade="BF"/>
          </w:tcPr>
          <w:p w14:paraId="41ED11AD" w14:textId="77777777" w:rsidR="004114FD" w:rsidRPr="004B3A0C" w:rsidRDefault="004114FD" w:rsidP="00C8750A"/>
        </w:tc>
        <w:tc>
          <w:tcPr>
            <w:tcW w:w="651" w:type="dxa"/>
            <w:shd w:val="clear" w:color="auto" w:fill="ADADAD" w:themeFill="background2" w:themeFillShade="BF"/>
          </w:tcPr>
          <w:p w14:paraId="3ECBE2D4" w14:textId="77777777" w:rsidR="004114FD" w:rsidRPr="004B3A0C" w:rsidRDefault="004114FD" w:rsidP="00C8750A"/>
        </w:tc>
      </w:tr>
    </w:tbl>
    <w:p w14:paraId="00E4B5D6" w14:textId="77777777" w:rsidR="001A25F7" w:rsidRPr="004B3A0C" w:rsidRDefault="001A25F7" w:rsidP="00C8750A"/>
    <w:p w14:paraId="12319478" w14:textId="77777777" w:rsidR="001A25F7" w:rsidRPr="004B3A0C" w:rsidRDefault="001A25F7" w:rsidP="00C8750A"/>
    <w:p w14:paraId="5628FFA1" w14:textId="77777777" w:rsidR="001A25F7" w:rsidRPr="004B3A0C" w:rsidRDefault="001A25F7" w:rsidP="00C8750A"/>
    <w:p w14:paraId="13DF079F" w14:textId="77777777" w:rsidR="00C801DE" w:rsidRPr="004B3A0C" w:rsidRDefault="00C801DE">
      <w:r w:rsidRPr="004B3A0C">
        <w:br w:type="page"/>
      </w:r>
    </w:p>
    <w:p w14:paraId="5A0F2885" w14:textId="6F686B08" w:rsidR="001A25F7" w:rsidRPr="004B3A0C" w:rsidRDefault="001A25F7" w:rsidP="001A25F7">
      <w:pPr>
        <w:pStyle w:val="Bibliography"/>
      </w:pPr>
      <w:r w:rsidRPr="004B3A0C">
        <w:lastRenderedPageBreak/>
        <w:t>References:</w:t>
      </w:r>
    </w:p>
    <w:p w14:paraId="0814A052" w14:textId="77777777" w:rsidR="00A807E2" w:rsidRPr="00A807E2" w:rsidRDefault="001A25F7" w:rsidP="00A807E2">
      <w:pPr>
        <w:pStyle w:val="Bibliography"/>
      </w:pPr>
      <w:r w:rsidRPr="004B3A0C">
        <w:fldChar w:fldCharType="begin"/>
      </w:r>
      <w:r w:rsidR="00C801DE" w:rsidRPr="00A807E2">
        <w:rPr>
          <w:lang w:val="nb-NO"/>
        </w:rPr>
        <w:instrText xml:space="preserve"> ADDIN ZOTERO_BIBL {"uncited":[],"omitted":[],"custom":[]} CSL_BIBLIOGRAPHY </w:instrText>
      </w:r>
      <w:r w:rsidRPr="004B3A0C">
        <w:fldChar w:fldCharType="separate"/>
      </w:r>
      <w:proofErr w:type="spellStart"/>
      <w:r w:rsidR="00A807E2" w:rsidRPr="00A807E2">
        <w:rPr>
          <w:lang w:val="nb-NO"/>
        </w:rPr>
        <w:t>Abi-Dargham</w:t>
      </w:r>
      <w:proofErr w:type="spellEnd"/>
      <w:r w:rsidR="00A807E2" w:rsidRPr="00A807E2">
        <w:rPr>
          <w:lang w:val="nb-NO"/>
        </w:rPr>
        <w:t xml:space="preserve">, A., &amp; Horga, G. (2016). </w:t>
      </w:r>
      <w:r w:rsidR="00A807E2" w:rsidRPr="00A807E2">
        <w:t xml:space="preserve">The search for imaging biomarkers in psychiatric disorders. </w:t>
      </w:r>
      <w:r w:rsidR="00A807E2" w:rsidRPr="00A807E2">
        <w:rPr>
          <w:i/>
          <w:iCs/>
        </w:rPr>
        <w:t>Nat Med</w:t>
      </w:r>
      <w:r w:rsidR="00A807E2" w:rsidRPr="00A807E2">
        <w:t xml:space="preserve">, </w:t>
      </w:r>
      <w:r w:rsidR="00A807E2" w:rsidRPr="00A807E2">
        <w:rPr>
          <w:i/>
          <w:iCs/>
        </w:rPr>
        <w:t>22</w:t>
      </w:r>
      <w:r w:rsidR="00A807E2" w:rsidRPr="00A807E2">
        <w:t>(11), 1248–1255. https://doi.org/10.1038/nm.4190</w:t>
      </w:r>
    </w:p>
    <w:p w14:paraId="1A572E80" w14:textId="77777777" w:rsidR="00A807E2" w:rsidRPr="00A807E2" w:rsidRDefault="00A807E2" w:rsidP="00A807E2">
      <w:pPr>
        <w:pStyle w:val="Bibliography"/>
      </w:pPr>
      <w:r w:rsidRPr="00A807E2">
        <w:rPr>
          <w:lang w:val="nb-NO"/>
        </w:rPr>
        <w:t xml:space="preserve">Caballero, A., Granberg, R., &amp; </w:t>
      </w:r>
      <w:proofErr w:type="spellStart"/>
      <w:r w:rsidRPr="00A807E2">
        <w:rPr>
          <w:lang w:val="nb-NO"/>
        </w:rPr>
        <w:t>Tseng</w:t>
      </w:r>
      <w:proofErr w:type="spellEnd"/>
      <w:r w:rsidRPr="00A807E2">
        <w:rPr>
          <w:lang w:val="nb-NO"/>
        </w:rPr>
        <w:t xml:space="preserve">, K. Y. (2016). </w:t>
      </w:r>
      <w:r w:rsidRPr="00A807E2">
        <w:t xml:space="preserve">Mechanisms contributing to prefrontal cortex maturation during adolescence. </w:t>
      </w:r>
      <w:r w:rsidRPr="00A807E2">
        <w:rPr>
          <w:i/>
          <w:iCs/>
        </w:rPr>
        <w:t>Neuroscience &amp; Biobehavioral Reviews</w:t>
      </w:r>
      <w:r w:rsidRPr="00A807E2">
        <w:t xml:space="preserve">, </w:t>
      </w:r>
      <w:r w:rsidRPr="00A807E2">
        <w:rPr>
          <w:i/>
          <w:iCs/>
        </w:rPr>
        <w:t>70</w:t>
      </w:r>
      <w:r w:rsidRPr="00A807E2">
        <w:t>, 4–12.</w:t>
      </w:r>
    </w:p>
    <w:p w14:paraId="1D9FADA2" w14:textId="77777777" w:rsidR="00A807E2" w:rsidRPr="00A807E2" w:rsidRDefault="00A807E2" w:rsidP="00A807E2">
      <w:pPr>
        <w:pStyle w:val="Bibliography"/>
      </w:pPr>
      <w:r w:rsidRPr="00A807E2">
        <w:t xml:space="preserve">Geller, B., </w:t>
      </w:r>
      <w:proofErr w:type="spellStart"/>
      <w:r w:rsidRPr="00A807E2">
        <w:t>Zimerman</w:t>
      </w:r>
      <w:proofErr w:type="spellEnd"/>
      <w:r w:rsidRPr="00A807E2">
        <w:t xml:space="preserve">, B., Williams, M., </w:t>
      </w:r>
      <w:proofErr w:type="spellStart"/>
      <w:r w:rsidRPr="00A807E2">
        <w:t>Bolhofner</w:t>
      </w:r>
      <w:proofErr w:type="spellEnd"/>
      <w:r w:rsidRPr="00A807E2">
        <w:t xml:space="preserve">, K., </w:t>
      </w:r>
      <w:proofErr w:type="spellStart"/>
      <w:r w:rsidRPr="00A807E2">
        <w:t>Craney</w:t>
      </w:r>
      <w:proofErr w:type="spellEnd"/>
      <w:r w:rsidRPr="00A807E2">
        <w:t xml:space="preserve">, J. L., </w:t>
      </w:r>
      <w:proofErr w:type="spellStart"/>
      <w:r w:rsidRPr="00A807E2">
        <w:t>Delbello</w:t>
      </w:r>
      <w:proofErr w:type="spellEnd"/>
      <w:r w:rsidRPr="00A807E2">
        <w:t xml:space="preserve">, M. P., &amp; </w:t>
      </w:r>
      <w:proofErr w:type="spellStart"/>
      <w:r w:rsidRPr="00A807E2">
        <w:t>Soutullo</w:t>
      </w:r>
      <w:proofErr w:type="spellEnd"/>
      <w:r w:rsidRPr="00A807E2">
        <w:t xml:space="preserve">, C. (2001). Reliability of the Washington University in St. Louis Kiddie Schedule for Affective Disorders and Schizophrenia (WASH-U-KSADS) Mania and Rapid Cycling Sections. </w:t>
      </w:r>
      <w:r w:rsidRPr="00A807E2">
        <w:rPr>
          <w:i/>
          <w:iCs/>
        </w:rPr>
        <w:t>Journal of the American Academy of Child &amp; Adolescent Psychiatry</w:t>
      </w:r>
      <w:r w:rsidRPr="00A807E2">
        <w:t xml:space="preserve">, </w:t>
      </w:r>
      <w:r w:rsidRPr="00A807E2">
        <w:rPr>
          <w:i/>
          <w:iCs/>
        </w:rPr>
        <w:t>40</w:t>
      </w:r>
      <w:r w:rsidRPr="00A807E2">
        <w:t>(4), 450–455. https://doi.org/10.1097/00004583-200104000-00014</w:t>
      </w:r>
    </w:p>
    <w:p w14:paraId="11D4DE1F" w14:textId="77777777" w:rsidR="00A807E2" w:rsidRPr="00A807E2" w:rsidRDefault="00A807E2" w:rsidP="00A807E2">
      <w:pPr>
        <w:pStyle w:val="Bibliography"/>
      </w:pPr>
      <w:r w:rsidRPr="00A807E2">
        <w:t xml:space="preserve">Gilmore, J. H., </w:t>
      </w:r>
      <w:proofErr w:type="spellStart"/>
      <w:r w:rsidRPr="00A807E2">
        <w:t>Knickmeyer</w:t>
      </w:r>
      <w:proofErr w:type="spellEnd"/>
      <w:r w:rsidRPr="00A807E2">
        <w:t xml:space="preserve">, R. C., &amp; Gao, W. (2018). Imaging structural and functional brain development in early childhood. </w:t>
      </w:r>
      <w:r w:rsidRPr="00A807E2">
        <w:rPr>
          <w:i/>
          <w:iCs/>
        </w:rPr>
        <w:t xml:space="preserve">Nat Rev </w:t>
      </w:r>
      <w:proofErr w:type="spellStart"/>
      <w:r w:rsidRPr="00A807E2">
        <w:rPr>
          <w:i/>
          <w:iCs/>
        </w:rPr>
        <w:t>Neurosci</w:t>
      </w:r>
      <w:proofErr w:type="spellEnd"/>
      <w:r w:rsidRPr="00A807E2">
        <w:t xml:space="preserve">, </w:t>
      </w:r>
      <w:r w:rsidRPr="00A807E2">
        <w:rPr>
          <w:i/>
          <w:iCs/>
        </w:rPr>
        <w:t>19</w:t>
      </w:r>
      <w:r w:rsidRPr="00A807E2">
        <w:t>(3), 123–137. https://doi.org/10.1038/nrn.2018.1</w:t>
      </w:r>
    </w:p>
    <w:p w14:paraId="2E59FC91" w14:textId="77777777" w:rsidR="00A807E2" w:rsidRPr="00A807E2" w:rsidRDefault="00A807E2" w:rsidP="00A807E2">
      <w:pPr>
        <w:pStyle w:val="Bibliography"/>
      </w:pPr>
      <w:proofErr w:type="spellStart"/>
      <w:r w:rsidRPr="00A807E2">
        <w:t>Harkavy</w:t>
      </w:r>
      <w:proofErr w:type="spellEnd"/>
      <w:r w:rsidRPr="00A807E2">
        <w:t xml:space="preserve">-Friedman, J. M. (2006). Can Early Detection of Psychosis Prevent Suicidal Behavior? </w:t>
      </w:r>
      <w:r w:rsidRPr="00A807E2">
        <w:rPr>
          <w:i/>
          <w:iCs/>
        </w:rPr>
        <w:t>Am J Psychiatry</w:t>
      </w:r>
      <w:r w:rsidRPr="00A807E2">
        <w:t xml:space="preserve">, </w:t>
      </w:r>
      <w:r w:rsidRPr="00A807E2">
        <w:rPr>
          <w:i/>
          <w:iCs/>
        </w:rPr>
        <w:t>163</w:t>
      </w:r>
      <w:r w:rsidRPr="00A807E2">
        <w:t>(5), 768–770. https://doi.org/10.1176/ajp.2006.163.5.768</w:t>
      </w:r>
    </w:p>
    <w:p w14:paraId="4D3B0E15" w14:textId="77777777" w:rsidR="00A807E2" w:rsidRPr="00A807E2" w:rsidRDefault="00A807E2" w:rsidP="00A807E2">
      <w:pPr>
        <w:pStyle w:val="Bibliography"/>
      </w:pPr>
      <w:proofErr w:type="spellStart"/>
      <w:r w:rsidRPr="00A807E2">
        <w:t>Karcher</w:t>
      </w:r>
      <w:proofErr w:type="spellEnd"/>
      <w:r w:rsidRPr="00A807E2">
        <w:t xml:space="preserve">, N. R., &amp; </w:t>
      </w:r>
      <w:proofErr w:type="spellStart"/>
      <w:r w:rsidRPr="00A807E2">
        <w:t>Barch</w:t>
      </w:r>
      <w:proofErr w:type="spellEnd"/>
      <w:r w:rsidRPr="00A807E2">
        <w:t xml:space="preserve">, D. M. (2021). The ABCD study: Understanding the development of risk for mental and physical health outcomes. </w:t>
      </w:r>
      <w:r w:rsidRPr="00A807E2">
        <w:rPr>
          <w:i/>
          <w:iCs/>
        </w:rPr>
        <w:t>Neuropsychopharmacology</w:t>
      </w:r>
      <w:r w:rsidRPr="00A807E2">
        <w:t xml:space="preserve">, </w:t>
      </w:r>
      <w:r w:rsidRPr="00A807E2">
        <w:rPr>
          <w:i/>
          <w:iCs/>
        </w:rPr>
        <w:t>46</w:t>
      </w:r>
      <w:r w:rsidRPr="00A807E2">
        <w:t>(1), 131–142. https://doi.org/10.1038/s41386-020-0736-6</w:t>
      </w:r>
    </w:p>
    <w:p w14:paraId="6D981970" w14:textId="77777777" w:rsidR="00A807E2" w:rsidRPr="00A807E2" w:rsidRDefault="00A807E2" w:rsidP="00A807E2">
      <w:pPr>
        <w:pStyle w:val="Bibliography"/>
      </w:pPr>
      <w:r w:rsidRPr="00A807E2">
        <w:t xml:space="preserve">Lay, B., Blanz, B., Hartmann, M., &amp; Schmidt, M. H. (2000). The Psychosocial Outcome of Adolescent-Onset Schizophrenia: A 12-Year </w:t>
      </w:r>
      <w:proofErr w:type="spellStart"/>
      <w:r w:rsidRPr="00A807E2">
        <w:t>Followup</w:t>
      </w:r>
      <w:proofErr w:type="spellEnd"/>
      <w:r w:rsidRPr="00A807E2">
        <w:t xml:space="preserve">. </w:t>
      </w:r>
      <w:proofErr w:type="spellStart"/>
      <w:r w:rsidRPr="00A807E2">
        <w:rPr>
          <w:i/>
          <w:iCs/>
        </w:rPr>
        <w:t>Schizophr</w:t>
      </w:r>
      <w:proofErr w:type="spellEnd"/>
      <w:r w:rsidRPr="00A807E2">
        <w:rPr>
          <w:i/>
          <w:iCs/>
        </w:rPr>
        <w:t xml:space="preserve"> Bull</w:t>
      </w:r>
      <w:r w:rsidRPr="00A807E2">
        <w:t xml:space="preserve">, </w:t>
      </w:r>
      <w:r w:rsidRPr="00A807E2">
        <w:rPr>
          <w:i/>
          <w:iCs/>
        </w:rPr>
        <w:t>26</w:t>
      </w:r>
      <w:r w:rsidRPr="00A807E2">
        <w:t>(4), 801–816. https://doi.org/10.1093/oxfordjournals.schbul.a033495</w:t>
      </w:r>
    </w:p>
    <w:p w14:paraId="7F14C768" w14:textId="77777777" w:rsidR="00A807E2" w:rsidRPr="00A807E2" w:rsidRDefault="00A807E2" w:rsidP="00A807E2">
      <w:pPr>
        <w:pStyle w:val="Bibliography"/>
      </w:pPr>
      <w:proofErr w:type="spellStart"/>
      <w:r w:rsidRPr="00A807E2">
        <w:lastRenderedPageBreak/>
        <w:t>Makinodan</w:t>
      </w:r>
      <w:proofErr w:type="spellEnd"/>
      <w:r w:rsidRPr="00A807E2">
        <w:t xml:space="preserve">, M., Rosen, K. M., Ito, S., &amp; </w:t>
      </w:r>
      <w:proofErr w:type="spellStart"/>
      <w:r w:rsidRPr="00A807E2">
        <w:t>Corfas</w:t>
      </w:r>
      <w:proofErr w:type="spellEnd"/>
      <w:r w:rsidRPr="00A807E2">
        <w:t xml:space="preserve">, G. (2012). A critical period for social experience–dependent oligodendrocyte maturation and myelination. </w:t>
      </w:r>
      <w:r w:rsidRPr="00A807E2">
        <w:rPr>
          <w:i/>
          <w:iCs/>
        </w:rPr>
        <w:t>Science</w:t>
      </w:r>
      <w:r w:rsidRPr="00A807E2">
        <w:t xml:space="preserve">, </w:t>
      </w:r>
      <w:r w:rsidRPr="00A807E2">
        <w:rPr>
          <w:i/>
          <w:iCs/>
        </w:rPr>
        <w:t>337</w:t>
      </w:r>
      <w:r w:rsidRPr="00A807E2">
        <w:t>(6100), 1357–1360.</w:t>
      </w:r>
    </w:p>
    <w:p w14:paraId="5B32EC5F" w14:textId="77777777" w:rsidR="00A807E2" w:rsidRPr="00A807E2" w:rsidRDefault="00A807E2" w:rsidP="00A807E2">
      <w:pPr>
        <w:pStyle w:val="Bibliography"/>
      </w:pPr>
      <w:r w:rsidRPr="00A807E2">
        <w:t xml:space="preserve">Patel, P. K., Leathem, L. D., </w:t>
      </w:r>
      <w:proofErr w:type="spellStart"/>
      <w:r w:rsidRPr="00A807E2">
        <w:t>Currin</w:t>
      </w:r>
      <w:proofErr w:type="spellEnd"/>
      <w:r w:rsidRPr="00A807E2">
        <w:t xml:space="preserve">, D. L., &amp; </w:t>
      </w:r>
      <w:proofErr w:type="spellStart"/>
      <w:r w:rsidRPr="00A807E2">
        <w:t>Karlsgodt</w:t>
      </w:r>
      <w:proofErr w:type="spellEnd"/>
      <w:r w:rsidRPr="00A807E2">
        <w:t xml:space="preserve">, K. H. (2021). Adolescent Neurodevelopment and Vulnerability to Psychosis. </w:t>
      </w:r>
      <w:r w:rsidRPr="00A807E2">
        <w:rPr>
          <w:i/>
          <w:iCs/>
        </w:rPr>
        <w:t>Biological Psychiatry</w:t>
      </w:r>
      <w:r w:rsidRPr="00A807E2">
        <w:t xml:space="preserve">, </w:t>
      </w:r>
      <w:r w:rsidRPr="00A807E2">
        <w:rPr>
          <w:i/>
          <w:iCs/>
        </w:rPr>
        <w:t>89</w:t>
      </w:r>
      <w:r w:rsidRPr="00A807E2">
        <w:t>(2), 184–193. https://doi.org/10.1016/j.biopsych.2020.06.028</w:t>
      </w:r>
    </w:p>
    <w:p w14:paraId="4BA2E1A3" w14:textId="77777777" w:rsidR="00A807E2" w:rsidRPr="00A807E2" w:rsidRDefault="00A807E2" w:rsidP="00A807E2">
      <w:pPr>
        <w:pStyle w:val="Bibliography"/>
      </w:pPr>
      <w:r w:rsidRPr="00A807E2">
        <w:t xml:space="preserve">Paus, T. (2010). Growth of white matter in the adolescent brain: Myelin or axon? </w:t>
      </w:r>
      <w:r w:rsidRPr="00A807E2">
        <w:rPr>
          <w:i/>
          <w:iCs/>
        </w:rPr>
        <w:t>Brain and Cognition</w:t>
      </w:r>
      <w:r w:rsidRPr="00A807E2">
        <w:t xml:space="preserve">, </w:t>
      </w:r>
      <w:r w:rsidRPr="00A807E2">
        <w:rPr>
          <w:i/>
          <w:iCs/>
        </w:rPr>
        <w:t>72</w:t>
      </w:r>
      <w:r w:rsidRPr="00A807E2">
        <w:t>(1), 26–35.</w:t>
      </w:r>
    </w:p>
    <w:p w14:paraId="42B6FDFC" w14:textId="77777777" w:rsidR="00A807E2" w:rsidRPr="00A807E2" w:rsidRDefault="00A807E2" w:rsidP="00A807E2">
      <w:pPr>
        <w:pStyle w:val="Bibliography"/>
      </w:pPr>
      <w:proofErr w:type="spellStart"/>
      <w:r w:rsidRPr="00A807E2">
        <w:t>Peper</w:t>
      </w:r>
      <w:proofErr w:type="spellEnd"/>
      <w:r w:rsidRPr="00A807E2">
        <w:t xml:space="preserve">, J. S., &amp; Dahl, R. E. (2013). The Teenage Brain: Surging Hormones—Brain-Behavior Interactions During Puberty. </w:t>
      </w:r>
      <w:r w:rsidRPr="00A807E2">
        <w:rPr>
          <w:i/>
          <w:iCs/>
        </w:rPr>
        <w:t>Curr Dir Psychol Sci</w:t>
      </w:r>
      <w:r w:rsidRPr="00A807E2">
        <w:t xml:space="preserve">, </w:t>
      </w:r>
      <w:r w:rsidRPr="00A807E2">
        <w:rPr>
          <w:i/>
          <w:iCs/>
        </w:rPr>
        <w:t>22</w:t>
      </w:r>
      <w:r w:rsidRPr="00A807E2">
        <w:t>(2), 134–139. https://doi.org/10.1177/0963721412473755</w:t>
      </w:r>
    </w:p>
    <w:p w14:paraId="013A893D" w14:textId="77777777" w:rsidR="00A807E2" w:rsidRPr="00A807E2" w:rsidRDefault="00A807E2" w:rsidP="00A807E2">
      <w:pPr>
        <w:pStyle w:val="Bibliography"/>
      </w:pPr>
      <w:r w:rsidRPr="00A807E2">
        <w:t xml:space="preserve">Rees, E., O’Donovan, M. C., &amp; Owen, M. J. (2015). Genetics of schizophrenia. </w:t>
      </w:r>
      <w:r w:rsidRPr="00A807E2">
        <w:rPr>
          <w:i/>
          <w:iCs/>
        </w:rPr>
        <w:t>Current Opinion in Behavioral Sciences</w:t>
      </w:r>
      <w:r w:rsidRPr="00A807E2">
        <w:t xml:space="preserve">, </w:t>
      </w:r>
      <w:r w:rsidRPr="00A807E2">
        <w:rPr>
          <w:i/>
          <w:iCs/>
        </w:rPr>
        <w:t>2</w:t>
      </w:r>
      <w:r w:rsidRPr="00A807E2">
        <w:t>, 8–14. https://doi.org/10.1016/j.cobeha.2014.07.001</w:t>
      </w:r>
    </w:p>
    <w:p w14:paraId="5349A802" w14:textId="1CC84A60" w:rsidR="001A25F7" w:rsidRPr="007101AF" w:rsidRDefault="001A25F7" w:rsidP="00C8750A">
      <w:r w:rsidRPr="004B3A0C">
        <w:fldChar w:fldCharType="end"/>
      </w:r>
    </w:p>
    <w:sectPr w:rsidR="001A25F7" w:rsidRPr="0071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5E1D"/>
    <w:multiLevelType w:val="multilevel"/>
    <w:tmpl w:val="97B2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5384"/>
    <w:multiLevelType w:val="multilevel"/>
    <w:tmpl w:val="8376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746A4"/>
    <w:multiLevelType w:val="multilevel"/>
    <w:tmpl w:val="6A3E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98159">
    <w:abstractNumId w:val="1"/>
  </w:num>
  <w:num w:numId="2" w16cid:durableId="1679960807">
    <w:abstractNumId w:val="2"/>
  </w:num>
  <w:num w:numId="3" w16cid:durableId="136984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A"/>
    <w:rsid w:val="00160C26"/>
    <w:rsid w:val="0018498C"/>
    <w:rsid w:val="001A25F7"/>
    <w:rsid w:val="002B56D3"/>
    <w:rsid w:val="00385D4B"/>
    <w:rsid w:val="004114FD"/>
    <w:rsid w:val="004276C9"/>
    <w:rsid w:val="0044407B"/>
    <w:rsid w:val="004A7304"/>
    <w:rsid w:val="004B3A0C"/>
    <w:rsid w:val="004D5CBC"/>
    <w:rsid w:val="004F1536"/>
    <w:rsid w:val="005170D3"/>
    <w:rsid w:val="00554703"/>
    <w:rsid w:val="00602EDE"/>
    <w:rsid w:val="00630561"/>
    <w:rsid w:val="00675E6E"/>
    <w:rsid w:val="00705D92"/>
    <w:rsid w:val="007101AF"/>
    <w:rsid w:val="00736C91"/>
    <w:rsid w:val="00807A33"/>
    <w:rsid w:val="008302DF"/>
    <w:rsid w:val="00867ED2"/>
    <w:rsid w:val="009448EA"/>
    <w:rsid w:val="00A121FB"/>
    <w:rsid w:val="00A33422"/>
    <w:rsid w:val="00A807E2"/>
    <w:rsid w:val="00B0102F"/>
    <w:rsid w:val="00B01FA6"/>
    <w:rsid w:val="00B666A1"/>
    <w:rsid w:val="00BC3266"/>
    <w:rsid w:val="00C801DE"/>
    <w:rsid w:val="00C8750A"/>
    <w:rsid w:val="00DC2E80"/>
    <w:rsid w:val="00E7344F"/>
    <w:rsid w:val="00EC7169"/>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5BD0"/>
  <w15:chartTrackingRefBased/>
  <w15:docId w15:val="{08C432D1-06E2-D348-93B8-E7ACC060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DE"/>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87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5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5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5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5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50A"/>
    <w:rPr>
      <w:rFonts w:eastAsiaTheme="majorEastAsia" w:cstheme="majorBidi"/>
      <w:color w:val="272727" w:themeColor="text1" w:themeTint="D8"/>
    </w:rPr>
  </w:style>
  <w:style w:type="paragraph" w:styleId="Title">
    <w:name w:val="Title"/>
    <w:basedOn w:val="Normal"/>
    <w:next w:val="Normal"/>
    <w:link w:val="TitleChar"/>
    <w:uiPriority w:val="10"/>
    <w:qFormat/>
    <w:rsid w:val="00C875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5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5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750A"/>
    <w:rPr>
      <w:i/>
      <w:iCs/>
      <w:color w:val="404040" w:themeColor="text1" w:themeTint="BF"/>
    </w:rPr>
  </w:style>
  <w:style w:type="paragraph" w:styleId="ListParagraph">
    <w:name w:val="List Paragraph"/>
    <w:basedOn w:val="Normal"/>
    <w:uiPriority w:val="34"/>
    <w:qFormat/>
    <w:rsid w:val="00C8750A"/>
    <w:pPr>
      <w:ind w:left="720"/>
      <w:contextualSpacing/>
    </w:pPr>
  </w:style>
  <w:style w:type="character" w:styleId="IntenseEmphasis">
    <w:name w:val="Intense Emphasis"/>
    <w:basedOn w:val="DefaultParagraphFont"/>
    <w:uiPriority w:val="21"/>
    <w:qFormat/>
    <w:rsid w:val="00C8750A"/>
    <w:rPr>
      <w:i/>
      <w:iCs/>
      <w:color w:val="0F4761" w:themeColor="accent1" w:themeShade="BF"/>
    </w:rPr>
  </w:style>
  <w:style w:type="paragraph" w:styleId="IntenseQuote">
    <w:name w:val="Intense Quote"/>
    <w:basedOn w:val="Normal"/>
    <w:next w:val="Normal"/>
    <w:link w:val="IntenseQuoteChar"/>
    <w:uiPriority w:val="30"/>
    <w:qFormat/>
    <w:rsid w:val="00C87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50A"/>
    <w:rPr>
      <w:i/>
      <w:iCs/>
      <w:color w:val="0F4761" w:themeColor="accent1" w:themeShade="BF"/>
    </w:rPr>
  </w:style>
  <w:style w:type="character" w:styleId="IntenseReference">
    <w:name w:val="Intense Reference"/>
    <w:basedOn w:val="DefaultParagraphFont"/>
    <w:uiPriority w:val="32"/>
    <w:qFormat/>
    <w:rsid w:val="00C8750A"/>
    <w:rPr>
      <w:b/>
      <w:bCs/>
      <w:smallCaps/>
      <w:color w:val="0F4761" w:themeColor="accent1" w:themeShade="BF"/>
      <w:spacing w:val="5"/>
    </w:rPr>
  </w:style>
  <w:style w:type="table" w:styleId="TableGrid">
    <w:name w:val="Table Grid"/>
    <w:basedOn w:val="TableNormal"/>
    <w:uiPriority w:val="39"/>
    <w:rsid w:val="00C87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750A"/>
    <w:rPr>
      <w:sz w:val="16"/>
      <w:szCs w:val="16"/>
    </w:rPr>
  </w:style>
  <w:style w:type="paragraph" w:styleId="CommentText">
    <w:name w:val="annotation text"/>
    <w:basedOn w:val="Normal"/>
    <w:link w:val="CommentTextChar"/>
    <w:uiPriority w:val="99"/>
    <w:semiHidden/>
    <w:unhideWhenUsed/>
    <w:rsid w:val="00C8750A"/>
    <w:rPr>
      <w:sz w:val="20"/>
      <w:szCs w:val="20"/>
    </w:rPr>
  </w:style>
  <w:style w:type="character" w:customStyle="1" w:styleId="CommentTextChar">
    <w:name w:val="Comment Text Char"/>
    <w:basedOn w:val="DefaultParagraphFont"/>
    <w:link w:val="CommentText"/>
    <w:uiPriority w:val="99"/>
    <w:semiHidden/>
    <w:rsid w:val="00C8750A"/>
    <w:rPr>
      <w:sz w:val="20"/>
      <w:szCs w:val="20"/>
    </w:rPr>
  </w:style>
  <w:style w:type="paragraph" w:styleId="CommentSubject">
    <w:name w:val="annotation subject"/>
    <w:basedOn w:val="CommentText"/>
    <w:next w:val="CommentText"/>
    <w:link w:val="CommentSubjectChar"/>
    <w:uiPriority w:val="99"/>
    <w:semiHidden/>
    <w:unhideWhenUsed/>
    <w:rsid w:val="00C8750A"/>
    <w:rPr>
      <w:b/>
      <w:bCs/>
    </w:rPr>
  </w:style>
  <w:style w:type="character" w:customStyle="1" w:styleId="CommentSubjectChar">
    <w:name w:val="Comment Subject Char"/>
    <w:basedOn w:val="CommentTextChar"/>
    <w:link w:val="CommentSubject"/>
    <w:uiPriority w:val="99"/>
    <w:semiHidden/>
    <w:rsid w:val="00C8750A"/>
    <w:rPr>
      <w:b/>
      <w:bCs/>
      <w:sz w:val="20"/>
      <w:szCs w:val="20"/>
    </w:rPr>
  </w:style>
  <w:style w:type="paragraph" w:styleId="Bibliography">
    <w:name w:val="Bibliography"/>
    <w:basedOn w:val="Normal"/>
    <w:next w:val="Normal"/>
    <w:uiPriority w:val="37"/>
    <w:unhideWhenUsed/>
    <w:rsid w:val="001A25F7"/>
    <w:pPr>
      <w:spacing w:line="480" w:lineRule="auto"/>
      <w:ind w:left="720" w:hanging="720"/>
    </w:pPr>
  </w:style>
  <w:style w:type="character" w:styleId="Strong">
    <w:name w:val="Strong"/>
    <w:basedOn w:val="DefaultParagraphFont"/>
    <w:uiPriority w:val="22"/>
    <w:qFormat/>
    <w:rsid w:val="00602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710">
      <w:bodyDiv w:val="1"/>
      <w:marLeft w:val="0"/>
      <w:marRight w:val="0"/>
      <w:marTop w:val="0"/>
      <w:marBottom w:val="0"/>
      <w:divBdr>
        <w:top w:val="none" w:sz="0" w:space="0" w:color="auto"/>
        <w:left w:val="none" w:sz="0" w:space="0" w:color="auto"/>
        <w:bottom w:val="none" w:sz="0" w:space="0" w:color="auto"/>
        <w:right w:val="none" w:sz="0" w:space="0" w:color="auto"/>
      </w:divBdr>
      <w:divsChild>
        <w:div w:id="1092629067">
          <w:marLeft w:val="0"/>
          <w:marRight w:val="0"/>
          <w:marTop w:val="0"/>
          <w:marBottom w:val="0"/>
          <w:divBdr>
            <w:top w:val="none" w:sz="0" w:space="0" w:color="auto"/>
            <w:left w:val="none" w:sz="0" w:space="0" w:color="auto"/>
            <w:bottom w:val="none" w:sz="0" w:space="0" w:color="auto"/>
            <w:right w:val="none" w:sz="0" w:space="0" w:color="auto"/>
          </w:divBdr>
          <w:divsChild>
            <w:div w:id="2073312295">
              <w:marLeft w:val="0"/>
              <w:marRight w:val="0"/>
              <w:marTop w:val="0"/>
              <w:marBottom w:val="0"/>
              <w:divBdr>
                <w:top w:val="none" w:sz="0" w:space="0" w:color="auto"/>
                <w:left w:val="none" w:sz="0" w:space="0" w:color="auto"/>
                <w:bottom w:val="none" w:sz="0" w:space="0" w:color="auto"/>
                <w:right w:val="none" w:sz="0" w:space="0" w:color="auto"/>
              </w:divBdr>
              <w:divsChild>
                <w:div w:id="327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9379">
      <w:bodyDiv w:val="1"/>
      <w:marLeft w:val="0"/>
      <w:marRight w:val="0"/>
      <w:marTop w:val="0"/>
      <w:marBottom w:val="0"/>
      <w:divBdr>
        <w:top w:val="none" w:sz="0" w:space="0" w:color="auto"/>
        <w:left w:val="none" w:sz="0" w:space="0" w:color="auto"/>
        <w:bottom w:val="none" w:sz="0" w:space="0" w:color="auto"/>
        <w:right w:val="none" w:sz="0" w:space="0" w:color="auto"/>
      </w:divBdr>
    </w:div>
    <w:div w:id="225725673">
      <w:bodyDiv w:val="1"/>
      <w:marLeft w:val="0"/>
      <w:marRight w:val="0"/>
      <w:marTop w:val="0"/>
      <w:marBottom w:val="0"/>
      <w:divBdr>
        <w:top w:val="none" w:sz="0" w:space="0" w:color="auto"/>
        <w:left w:val="none" w:sz="0" w:space="0" w:color="auto"/>
        <w:bottom w:val="none" w:sz="0" w:space="0" w:color="auto"/>
        <w:right w:val="none" w:sz="0" w:space="0" w:color="auto"/>
      </w:divBdr>
    </w:div>
    <w:div w:id="306712668">
      <w:bodyDiv w:val="1"/>
      <w:marLeft w:val="0"/>
      <w:marRight w:val="0"/>
      <w:marTop w:val="0"/>
      <w:marBottom w:val="0"/>
      <w:divBdr>
        <w:top w:val="none" w:sz="0" w:space="0" w:color="auto"/>
        <w:left w:val="none" w:sz="0" w:space="0" w:color="auto"/>
        <w:bottom w:val="none" w:sz="0" w:space="0" w:color="auto"/>
        <w:right w:val="none" w:sz="0" w:space="0" w:color="auto"/>
      </w:divBdr>
      <w:divsChild>
        <w:div w:id="1065882042">
          <w:marLeft w:val="0"/>
          <w:marRight w:val="0"/>
          <w:marTop w:val="0"/>
          <w:marBottom w:val="0"/>
          <w:divBdr>
            <w:top w:val="none" w:sz="0" w:space="0" w:color="auto"/>
            <w:left w:val="none" w:sz="0" w:space="0" w:color="auto"/>
            <w:bottom w:val="none" w:sz="0" w:space="0" w:color="auto"/>
            <w:right w:val="none" w:sz="0" w:space="0" w:color="auto"/>
          </w:divBdr>
          <w:divsChild>
            <w:div w:id="523980390">
              <w:marLeft w:val="0"/>
              <w:marRight w:val="0"/>
              <w:marTop w:val="0"/>
              <w:marBottom w:val="0"/>
              <w:divBdr>
                <w:top w:val="none" w:sz="0" w:space="0" w:color="auto"/>
                <w:left w:val="none" w:sz="0" w:space="0" w:color="auto"/>
                <w:bottom w:val="none" w:sz="0" w:space="0" w:color="auto"/>
                <w:right w:val="none" w:sz="0" w:space="0" w:color="auto"/>
              </w:divBdr>
              <w:divsChild>
                <w:div w:id="1377895058">
                  <w:marLeft w:val="0"/>
                  <w:marRight w:val="0"/>
                  <w:marTop w:val="0"/>
                  <w:marBottom w:val="0"/>
                  <w:divBdr>
                    <w:top w:val="none" w:sz="0" w:space="0" w:color="auto"/>
                    <w:left w:val="none" w:sz="0" w:space="0" w:color="auto"/>
                    <w:bottom w:val="none" w:sz="0" w:space="0" w:color="auto"/>
                    <w:right w:val="none" w:sz="0" w:space="0" w:color="auto"/>
                  </w:divBdr>
                  <w:divsChild>
                    <w:div w:id="6571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6743">
      <w:bodyDiv w:val="1"/>
      <w:marLeft w:val="0"/>
      <w:marRight w:val="0"/>
      <w:marTop w:val="0"/>
      <w:marBottom w:val="0"/>
      <w:divBdr>
        <w:top w:val="none" w:sz="0" w:space="0" w:color="auto"/>
        <w:left w:val="none" w:sz="0" w:space="0" w:color="auto"/>
        <w:bottom w:val="none" w:sz="0" w:space="0" w:color="auto"/>
        <w:right w:val="none" w:sz="0" w:space="0" w:color="auto"/>
      </w:divBdr>
    </w:div>
    <w:div w:id="431896324">
      <w:bodyDiv w:val="1"/>
      <w:marLeft w:val="0"/>
      <w:marRight w:val="0"/>
      <w:marTop w:val="0"/>
      <w:marBottom w:val="0"/>
      <w:divBdr>
        <w:top w:val="none" w:sz="0" w:space="0" w:color="auto"/>
        <w:left w:val="none" w:sz="0" w:space="0" w:color="auto"/>
        <w:bottom w:val="none" w:sz="0" w:space="0" w:color="auto"/>
        <w:right w:val="none" w:sz="0" w:space="0" w:color="auto"/>
      </w:divBdr>
    </w:div>
    <w:div w:id="647441487">
      <w:bodyDiv w:val="1"/>
      <w:marLeft w:val="0"/>
      <w:marRight w:val="0"/>
      <w:marTop w:val="0"/>
      <w:marBottom w:val="0"/>
      <w:divBdr>
        <w:top w:val="none" w:sz="0" w:space="0" w:color="auto"/>
        <w:left w:val="none" w:sz="0" w:space="0" w:color="auto"/>
        <w:bottom w:val="none" w:sz="0" w:space="0" w:color="auto"/>
        <w:right w:val="none" w:sz="0" w:space="0" w:color="auto"/>
      </w:divBdr>
    </w:div>
    <w:div w:id="659581662">
      <w:bodyDiv w:val="1"/>
      <w:marLeft w:val="0"/>
      <w:marRight w:val="0"/>
      <w:marTop w:val="0"/>
      <w:marBottom w:val="0"/>
      <w:divBdr>
        <w:top w:val="none" w:sz="0" w:space="0" w:color="auto"/>
        <w:left w:val="none" w:sz="0" w:space="0" w:color="auto"/>
        <w:bottom w:val="none" w:sz="0" w:space="0" w:color="auto"/>
        <w:right w:val="none" w:sz="0" w:space="0" w:color="auto"/>
      </w:divBdr>
    </w:div>
    <w:div w:id="737243656">
      <w:bodyDiv w:val="1"/>
      <w:marLeft w:val="0"/>
      <w:marRight w:val="0"/>
      <w:marTop w:val="0"/>
      <w:marBottom w:val="0"/>
      <w:divBdr>
        <w:top w:val="none" w:sz="0" w:space="0" w:color="auto"/>
        <w:left w:val="none" w:sz="0" w:space="0" w:color="auto"/>
        <w:bottom w:val="none" w:sz="0" w:space="0" w:color="auto"/>
        <w:right w:val="none" w:sz="0" w:space="0" w:color="auto"/>
      </w:divBdr>
    </w:div>
    <w:div w:id="756906846">
      <w:bodyDiv w:val="1"/>
      <w:marLeft w:val="0"/>
      <w:marRight w:val="0"/>
      <w:marTop w:val="0"/>
      <w:marBottom w:val="0"/>
      <w:divBdr>
        <w:top w:val="none" w:sz="0" w:space="0" w:color="auto"/>
        <w:left w:val="none" w:sz="0" w:space="0" w:color="auto"/>
        <w:bottom w:val="none" w:sz="0" w:space="0" w:color="auto"/>
        <w:right w:val="none" w:sz="0" w:space="0" w:color="auto"/>
      </w:divBdr>
      <w:divsChild>
        <w:div w:id="265115315">
          <w:marLeft w:val="0"/>
          <w:marRight w:val="0"/>
          <w:marTop w:val="0"/>
          <w:marBottom w:val="0"/>
          <w:divBdr>
            <w:top w:val="none" w:sz="0" w:space="0" w:color="auto"/>
            <w:left w:val="none" w:sz="0" w:space="0" w:color="auto"/>
            <w:bottom w:val="none" w:sz="0" w:space="0" w:color="auto"/>
            <w:right w:val="none" w:sz="0" w:space="0" w:color="auto"/>
          </w:divBdr>
          <w:divsChild>
            <w:div w:id="860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154">
      <w:bodyDiv w:val="1"/>
      <w:marLeft w:val="0"/>
      <w:marRight w:val="0"/>
      <w:marTop w:val="0"/>
      <w:marBottom w:val="0"/>
      <w:divBdr>
        <w:top w:val="none" w:sz="0" w:space="0" w:color="auto"/>
        <w:left w:val="none" w:sz="0" w:space="0" w:color="auto"/>
        <w:bottom w:val="none" w:sz="0" w:space="0" w:color="auto"/>
        <w:right w:val="none" w:sz="0" w:space="0" w:color="auto"/>
      </w:divBdr>
    </w:div>
    <w:div w:id="891231607">
      <w:bodyDiv w:val="1"/>
      <w:marLeft w:val="0"/>
      <w:marRight w:val="0"/>
      <w:marTop w:val="0"/>
      <w:marBottom w:val="0"/>
      <w:divBdr>
        <w:top w:val="none" w:sz="0" w:space="0" w:color="auto"/>
        <w:left w:val="none" w:sz="0" w:space="0" w:color="auto"/>
        <w:bottom w:val="none" w:sz="0" w:space="0" w:color="auto"/>
        <w:right w:val="none" w:sz="0" w:space="0" w:color="auto"/>
      </w:divBdr>
      <w:divsChild>
        <w:div w:id="328992846">
          <w:marLeft w:val="0"/>
          <w:marRight w:val="0"/>
          <w:marTop w:val="0"/>
          <w:marBottom w:val="0"/>
          <w:divBdr>
            <w:top w:val="none" w:sz="0" w:space="0" w:color="auto"/>
            <w:left w:val="none" w:sz="0" w:space="0" w:color="auto"/>
            <w:bottom w:val="none" w:sz="0" w:space="0" w:color="auto"/>
            <w:right w:val="none" w:sz="0" w:space="0" w:color="auto"/>
          </w:divBdr>
          <w:divsChild>
            <w:div w:id="14426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573">
      <w:bodyDiv w:val="1"/>
      <w:marLeft w:val="0"/>
      <w:marRight w:val="0"/>
      <w:marTop w:val="0"/>
      <w:marBottom w:val="0"/>
      <w:divBdr>
        <w:top w:val="none" w:sz="0" w:space="0" w:color="auto"/>
        <w:left w:val="none" w:sz="0" w:space="0" w:color="auto"/>
        <w:bottom w:val="none" w:sz="0" w:space="0" w:color="auto"/>
        <w:right w:val="none" w:sz="0" w:space="0" w:color="auto"/>
      </w:divBdr>
    </w:div>
    <w:div w:id="1041170441">
      <w:bodyDiv w:val="1"/>
      <w:marLeft w:val="0"/>
      <w:marRight w:val="0"/>
      <w:marTop w:val="0"/>
      <w:marBottom w:val="0"/>
      <w:divBdr>
        <w:top w:val="none" w:sz="0" w:space="0" w:color="auto"/>
        <w:left w:val="none" w:sz="0" w:space="0" w:color="auto"/>
        <w:bottom w:val="none" w:sz="0" w:space="0" w:color="auto"/>
        <w:right w:val="none" w:sz="0" w:space="0" w:color="auto"/>
      </w:divBdr>
    </w:div>
    <w:div w:id="1226452785">
      <w:bodyDiv w:val="1"/>
      <w:marLeft w:val="0"/>
      <w:marRight w:val="0"/>
      <w:marTop w:val="0"/>
      <w:marBottom w:val="0"/>
      <w:divBdr>
        <w:top w:val="none" w:sz="0" w:space="0" w:color="auto"/>
        <w:left w:val="none" w:sz="0" w:space="0" w:color="auto"/>
        <w:bottom w:val="none" w:sz="0" w:space="0" w:color="auto"/>
        <w:right w:val="none" w:sz="0" w:space="0" w:color="auto"/>
      </w:divBdr>
      <w:divsChild>
        <w:div w:id="1449081885">
          <w:marLeft w:val="0"/>
          <w:marRight w:val="0"/>
          <w:marTop w:val="0"/>
          <w:marBottom w:val="0"/>
          <w:divBdr>
            <w:top w:val="none" w:sz="0" w:space="0" w:color="auto"/>
            <w:left w:val="none" w:sz="0" w:space="0" w:color="auto"/>
            <w:bottom w:val="none" w:sz="0" w:space="0" w:color="auto"/>
            <w:right w:val="none" w:sz="0" w:space="0" w:color="auto"/>
          </w:divBdr>
          <w:divsChild>
            <w:div w:id="1140534474">
              <w:marLeft w:val="0"/>
              <w:marRight w:val="0"/>
              <w:marTop w:val="0"/>
              <w:marBottom w:val="0"/>
              <w:divBdr>
                <w:top w:val="none" w:sz="0" w:space="0" w:color="auto"/>
                <w:left w:val="none" w:sz="0" w:space="0" w:color="auto"/>
                <w:bottom w:val="none" w:sz="0" w:space="0" w:color="auto"/>
                <w:right w:val="none" w:sz="0" w:space="0" w:color="auto"/>
              </w:divBdr>
              <w:divsChild>
                <w:div w:id="819689766">
                  <w:marLeft w:val="0"/>
                  <w:marRight w:val="0"/>
                  <w:marTop w:val="0"/>
                  <w:marBottom w:val="0"/>
                  <w:divBdr>
                    <w:top w:val="none" w:sz="0" w:space="0" w:color="auto"/>
                    <w:left w:val="none" w:sz="0" w:space="0" w:color="auto"/>
                    <w:bottom w:val="none" w:sz="0" w:space="0" w:color="auto"/>
                    <w:right w:val="none" w:sz="0" w:space="0" w:color="auto"/>
                  </w:divBdr>
                  <w:divsChild>
                    <w:div w:id="749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3742">
      <w:bodyDiv w:val="1"/>
      <w:marLeft w:val="0"/>
      <w:marRight w:val="0"/>
      <w:marTop w:val="0"/>
      <w:marBottom w:val="0"/>
      <w:divBdr>
        <w:top w:val="none" w:sz="0" w:space="0" w:color="auto"/>
        <w:left w:val="none" w:sz="0" w:space="0" w:color="auto"/>
        <w:bottom w:val="none" w:sz="0" w:space="0" w:color="auto"/>
        <w:right w:val="none" w:sz="0" w:space="0" w:color="auto"/>
      </w:divBdr>
    </w:div>
    <w:div w:id="1442726226">
      <w:bodyDiv w:val="1"/>
      <w:marLeft w:val="0"/>
      <w:marRight w:val="0"/>
      <w:marTop w:val="0"/>
      <w:marBottom w:val="0"/>
      <w:divBdr>
        <w:top w:val="none" w:sz="0" w:space="0" w:color="auto"/>
        <w:left w:val="none" w:sz="0" w:space="0" w:color="auto"/>
        <w:bottom w:val="none" w:sz="0" w:space="0" w:color="auto"/>
        <w:right w:val="none" w:sz="0" w:space="0" w:color="auto"/>
      </w:divBdr>
      <w:divsChild>
        <w:div w:id="1721174379">
          <w:marLeft w:val="0"/>
          <w:marRight w:val="0"/>
          <w:marTop w:val="0"/>
          <w:marBottom w:val="0"/>
          <w:divBdr>
            <w:top w:val="none" w:sz="0" w:space="0" w:color="auto"/>
            <w:left w:val="none" w:sz="0" w:space="0" w:color="auto"/>
            <w:bottom w:val="none" w:sz="0" w:space="0" w:color="auto"/>
            <w:right w:val="none" w:sz="0" w:space="0" w:color="auto"/>
          </w:divBdr>
          <w:divsChild>
            <w:div w:id="1810245184">
              <w:marLeft w:val="0"/>
              <w:marRight w:val="0"/>
              <w:marTop w:val="0"/>
              <w:marBottom w:val="0"/>
              <w:divBdr>
                <w:top w:val="none" w:sz="0" w:space="0" w:color="auto"/>
                <w:left w:val="none" w:sz="0" w:space="0" w:color="auto"/>
                <w:bottom w:val="none" w:sz="0" w:space="0" w:color="auto"/>
                <w:right w:val="none" w:sz="0" w:space="0" w:color="auto"/>
              </w:divBdr>
              <w:divsChild>
                <w:div w:id="398478067">
                  <w:marLeft w:val="0"/>
                  <w:marRight w:val="0"/>
                  <w:marTop w:val="0"/>
                  <w:marBottom w:val="0"/>
                  <w:divBdr>
                    <w:top w:val="none" w:sz="0" w:space="0" w:color="auto"/>
                    <w:left w:val="none" w:sz="0" w:space="0" w:color="auto"/>
                    <w:bottom w:val="none" w:sz="0" w:space="0" w:color="auto"/>
                    <w:right w:val="none" w:sz="0" w:space="0" w:color="auto"/>
                  </w:divBdr>
                  <w:divsChild>
                    <w:div w:id="19411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61327">
      <w:bodyDiv w:val="1"/>
      <w:marLeft w:val="0"/>
      <w:marRight w:val="0"/>
      <w:marTop w:val="0"/>
      <w:marBottom w:val="0"/>
      <w:divBdr>
        <w:top w:val="none" w:sz="0" w:space="0" w:color="auto"/>
        <w:left w:val="none" w:sz="0" w:space="0" w:color="auto"/>
        <w:bottom w:val="none" w:sz="0" w:space="0" w:color="auto"/>
        <w:right w:val="none" w:sz="0" w:space="0" w:color="auto"/>
      </w:divBdr>
      <w:divsChild>
        <w:div w:id="188614508">
          <w:marLeft w:val="0"/>
          <w:marRight w:val="0"/>
          <w:marTop w:val="0"/>
          <w:marBottom w:val="0"/>
          <w:divBdr>
            <w:top w:val="none" w:sz="0" w:space="0" w:color="auto"/>
            <w:left w:val="none" w:sz="0" w:space="0" w:color="auto"/>
            <w:bottom w:val="none" w:sz="0" w:space="0" w:color="auto"/>
            <w:right w:val="none" w:sz="0" w:space="0" w:color="auto"/>
          </w:divBdr>
          <w:divsChild>
            <w:div w:id="51776443">
              <w:marLeft w:val="0"/>
              <w:marRight w:val="0"/>
              <w:marTop w:val="0"/>
              <w:marBottom w:val="0"/>
              <w:divBdr>
                <w:top w:val="none" w:sz="0" w:space="0" w:color="auto"/>
                <w:left w:val="none" w:sz="0" w:space="0" w:color="auto"/>
                <w:bottom w:val="none" w:sz="0" w:space="0" w:color="auto"/>
                <w:right w:val="none" w:sz="0" w:space="0" w:color="auto"/>
              </w:divBdr>
              <w:divsChild>
                <w:div w:id="334379342">
                  <w:marLeft w:val="0"/>
                  <w:marRight w:val="0"/>
                  <w:marTop w:val="0"/>
                  <w:marBottom w:val="0"/>
                  <w:divBdr>
                    <w:top w:val="none" w:sz="0" w:space="0" w:color="auto"/>
                    <w:left w:val="none" w:sz="0" w:space="0" w:color="auto"/>
                    <w:bottom w:val="none" w:sz="0" w:space="0" w:color="auto"/>
                    <w:right w:val="none" w:sz="0" w:space="0" w:color="auto"/>
                  </w:divBdr>
                  <w:divsChild>
                    <w:div w:id="16715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4430">
      <w:bodyDiv w:val="1"/>
      <w:marLeft w:val="0"/>
      <w:marRight w:val="0"/>
      <w:marTop w:val="0"/>
      <w:marBottom w:val="0"/>
      <w:divBdr>
        <w:top w:val="none" w:sz="0" w:space="0" w:color="auto"/>
        <w:left w:val="none" w:sz="0" w:space="0" w:color="auto"/>
        <w:bottom w:val="none" w:sz="0" w:space="0" w:color="auto"/>
        <w:right w:val="none" w:sz="0" w:space="0" w:color="auto"/>
      </w:divBdr>
      <w:divsChild>
        <w:div w:id="927152748">
          <w:marLeft w:val="0"/>
          <w:marRight w:val="0"/>
          <w:marTop w:val="0"/>
          <w:marBottom w:val="0"/>
          <w:divBdr>
            <w:top w:val="none" w:sz="0" w:space="0" w:color="auto"/>
            <w:left w:val="none" w:sz="0" w:space="0" w:color="auto"/>
            <w:bottom w:val="none" w:sz="0" w:space="0" w:color="auto"/>
            <w:right w:val="none" w:sz="0" w:space="0" w:color="auto"/>
          </w:divBdr>
          <w:divsChild>
            <w:div w:id="1972520129">
              <w:marLeft w:val="0"/>
              <w:marRight w:val="0"/>
              <w:marTop w:val="0"/>
              <w:marBottom w:val="0"/>
              <w:divBdr>
                <w:top w:val="none" w:sz="0" w:space="0" w:color="auto"/>
                <w:left w:val="none" w:sz="0" w:space="0" w:color="auto"/>
                <w:bottom w:val="none" w:sz="0" w:space="0" w:color="auto"/>
                <w:right w:val="none" w:sz="0" w:space="0" w:color="auto"/>
              </w:divBdr>
              <w:divsChild>
                <w:div w:id="418792202">
                  <w:marLeft w:val="0"/>
                  <w:marRight w:val="0"/>
                  <w:marTop w:val="0"/>
                  <w:marBottom w:val="0"/>
                  <w:divBdr>
                    <w:top w:val="none" w:sz="0" w:space="0" w:color="auto"/>
                    <w:left w:val="none" w:sz="0" w:space="0" w:color="auto"/>
                    <w:bottom w:val="none" w:sz="0" w:space="0" w:color="auto"/>
                    <w:right w:val="none" w:sz="0" w:space="0" w:color="auto"/>
                  </w:divBdr>
                  <w:divsChild>
                    <w:div w:id="9066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2130">
      <w:bodyDiv w:val="1"/>
      <w:marLeft w:val="0"/>
      <w:marRight w:val="0"/>
      <w:marTop w:val="0"/>
      <w:marBottom w:val="0"/>
      <w:divBdr>
        <w:top w:val="none" w:sz="0" w:space="0" w:color="auto"/>
        <w:left w:val="none" w:sz="0" w:space="0" w:color="auto"/>
        <w:bottom w:val="none" w:sz="0" w:space="0" w:color="auto"/>
        <w:right w:val="none" w:sz="0" w:space="0" w:color="auto"/>
      </w:divBdr>
    </w:div>
    <w:div w:id="1992978352">
      <w:bodyDiv w:val="1"/>
      <w:marLeft w:val="0"/>
      <w:marRight w:val="0"/>
      <w:marTop w:val="0"/>
      <w:marBottom w:val="0"/>
      <w:divBdr>
        <w:top w:val="none" w:sz="0" w:space="0" w:color="auto"/>
        <w:left w:val="none" w:sz="0" w:space="0" w:color="auto"/>
        <w:bottom w:val="none" w:sz="0" w:space="0" w:color="auto"/>
        <w:right w:val="none" w:sz="0" w:space="0" w:color="auto"/>
      </w:divBdr>
      <w:divsChild>
        <w:div w:id="1646620599">
          <w:marLeft w:val="0"/>
          <w:marRight w:val="0"/>
          <w:marTop w:val="0"/>
          <w:marBottom w:val="0"/>
          <w:divBdr>
            <w:top w:val="none" w:sz="0" w:space="0" w:color="auto"/>
            <w:left w:val="none" w:sz="0" w:space="0" w:color="auto"/>
            <w:bottom w:val="none" w:sz="0" w:space="0" w:color="auto"/>
            <w:right w:val="none" w:sz="0" w:space="0" w:color="auto"/>
          </w:divBdr>
          <w:divsChild>
            <w:div w:id="514348270">
              <w:marLeft w:val="0"/>
              <w:marRight w:val="0"/>
              <w:marTop w:val="0"/>
              <w:marBottom w:val="0"/>
              <w:divBdr>
                <w:top w:val="none" w:sz="0" w:space="0" w:color="auto"/>
                <w:left w:val="none" w:sz="0" w:space="0" w:color="auto"/>
                <w:bottom w:val="none" w:sz="0" w:space="0" w:color="auto"/>
                <w:right w:val="none" w:sz="0" w:space="0" w:color="auto"/>
              </w:divBdr>
              <w:divsChild>
                <w:div w:id="915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0777">
      <w:bodyDiv w:val="1"/>
      <w:marLeft w:val="0"/>
      <w:marRight w:val="0"/>
      <w:marTop w:val="0"/>
      <w:marBottom w:val="0"/>
      <w:divBdr>
        <w:top w:val="none" w:sz="0" w:space="0" w:color="auto"/>
        <w:left w:val="none" w:sz="0" w:space="0" w:color="auto"/>
        <w:bottom w:val="none" w:sz="0" w:space="0" w:color="auto"/>
        <w:right w:val="none" w:sz="0" w:space="0" w:color="auto"/>
      </w:divBdr>
      <w:divsChild>
        <w:div w:id="94518423">
          <w:marLeft w:val="0"/>
          <w:marRight w:val="0"/>
          <w:marTop w:val="0"/>
          <w:marBottom w:val="0"/>
          <w:divBdr>
            <w:top w:val="none" w:sz="0" w:space="0" w:color="auto"/>
            <w:left w:val="none" w:sz="0" w:space="0" w:color="auto"/>
            <w:bottom w:val="none" w:sz="0" w:space="0" w:color="auto"/>
            <w:right w:val="none" w:sz="0" w:space="0" w:color="auto"/>
          </w:divBdr>
          <w:divsChild>
            <w:div w:id="909000789">
              <w:marLeft w:val="0"/>
              <w:marRight w:val="0"/>
              <w:marTop w:val="0"/>
              <w:marBottom w:val="0"/>
              <w:divBdr>
                <w:top w:val="none" w:sz="0" w:space="0" w:color="auto"/>
                <w:left w:val="none" w:sz="0" w:space="0" w:color="auto"/>
                <w:bottom w:val="none" w:sz="0" w:space="0" w:color="auto"/>
                <w:right w:val="none" w:sz="0" w:space="0" w:color="auto"/>
              </w:divBdr>
              <w:divsChild>
                <w:div w:id="722681408">
                  <w:marLeft w:val="0"/>
                  <w:marRight w:val="0"/>
                  <w:marTop w:val="0"/>
                  <w:marBottom w:val="0"/>
                  <w:divBdr>
                    <w:top w:val="none" w:sz="0" w:space="0" w:color="auto"/>
                    <w:left w:val="none" w:sz="0" w:space="0" w:color="auto"/>
                    <w:bottom w:val="none" w:sz="0" w:space="0" w:color="auto"/>
                    <w:right w:val="none" w:sz="0" w:space="0" w:color="auto"/>
                  </w:divBdr>
                  <w:divsChild>
                    <w:div w:id="2038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2024-09-12T22:35:00Z</dcterms:created>
  <dcterms:modified xsi:type="dcterms:W3CDTF">2024-09-12T22:35:00Z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id="O1Zt14DH"/&gt;&lt;style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