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2EC75C" w14:textId="77777777" w:rsidR="00432C0B" w:rsidRDefault="00432C0B" w:rsidP="00432C0B">
      <w:pPr>
        <w:pStyle w:val="Style1"/>
      </w:pPr>
      <w:bookmarkStart w:id="0" w:name="_Toc197122752"/>
      <w:r>
        <w:t>Discussion</w:t>
      </w:r>
      <w:bookmarkEnd w:id="0"/>
    </w:p>
    <w:p w14:paraId="73A2EBEF" w14:textId="77777777" w:rsidR="00432C0B" w:rsidRDefault="00432C0B" w:rsidP="00432C0B"/>
    <w:p w14:paraId="4C423605" w14:textId="77777777" w:rsidR="00432C0B" w:rsidRDefault="00432C0B" w:rsidP="00432C0B">
      <w:pPr>
        <w:rPr>
          <w:color w:val="000000" w:themeColor="text1"/>
        </w:rPr>
      </w:pPr>
      <w:r w:rsidRPr="00A746D5">
        <w:t xml:space="preserve">The primary aim of this study was to evaluate whether structural brain </w:t>
      </w:r>
      <w:r>
        <w:t xml:space="preserve">features </w:t>
      </w:r>
      <w:r w:rsidRPr="00A746D5">
        <w:t xml:space="preserve">could be used to predict the severity of OCD internalizing symptoms as </w:t>
      </w:r>
      <w:r w:rsidRPr="009A7962">
        <w:t xml:space="preserve">reported by both youths and their parents. In addition to answering the primary research question, </w:t>
      </w:r>
      <w:r>
        <w:t>a</w:t>
      </w:r>
      <w:r w:rsidRPr="009A7962">
        <w:t xml:space="preserve"> secondary </w:t>
      </w:r>
      <w:r>
        <w:t xml:space="preserve">research question </w:t>
      </w:r>
      <w:r w:rsidRPr="009A7962">
        <w:t>involved comparing</w:t>
      </w:r>
      <w:r w:rsidRPr="009A7962">
        <w:rPr>
          <w:rFonts w:eastAsiaTheme="majorEastAsia"/>
        </w:rPr>
        <w:t> </w:t>
      </w:r>
      <w:r w:rsidRPr="009A7962">
        <w:t>whether structural brain features were more predictive</w:t>
      </w:r>
      <w:r w:rsidRPr="00A746D5">
        <w:t xml:space="preserve"> of internalizing symptoms when reported by youths as compared to their parents. To support this comparative analysis, all models were trained and evaluated using the same procedures, including class weighting, threshold calibration, and hyperparameter tuning, to ensure fairness and consistency across informants and symptom domains.</w:t>
      </w:r>
      <w:r>
        <w:t xml:space="preserve"> Results show that </w:t>
      </w:r>
      <w:r w:rsidRPr="00846DFD">
        <w:rPr>
          <w:color w:val="000000" w:themeColor="text1"/>
        </w:rPr>
        <w:t xml:space="preserve">while initial performance metrics suggested high classification accuracy, further analysis revealed that this performance was largely driven by class imbalance, rather than genuine predictive power. </w:t>
      </w:r>
      <w:r w:rsidRPr="004447A5">
        <w:rPr>
          <w:color w:val="000000" w:themeColor="text1"/>
        </w:rPr>
        <w:t>As such, the models were ultimately deemed unfit to answer our primary and secondary research questions.</w:t>
      </w:r>
    </w:p>
    <w:p w14:paraId="231F43F2" w14:textId="77777777" w:rsidR="00432C0B" w:rsidRPr="004447A5" w:rsidRDefault="00432C0B" w:rsidP="00432C0B">
      <w:pPr>
        <w:rPr>
          <w:color w:val="98A7BD" w:themeColor="text2" w:themeTint="80"/>
        </w:rPr>
      </w:pPr>
    </w:p>
    <w:p w14:paraId="017E647F" w14:textId="77777777" w:rsidR="00432C0B" w:rsidRDefault="00432C0B" w:rsidP="00432C0B">
      <w:pPr>
        <w:pStyle w:val="Style2"/>
      </w:pPr>
      <w:bookmarkStart w:id="1" w:name="_Toc197122753"/>
      <w:r>
        <w:t>Main Findings</w:t>
      </w:r>
      <w:bookmarkEnd w:id="1"/>
    </w:p>
    <w:p w14:paraId="68E21DD9" w14:textId="77777777" w:rsidR="00432C0B" w:rsidRDefault="00432C0B" w:rsidP="00432C0B">
      <w:r w:rsidRPr="00603349">
        <w:t xml:space="preserve">The results of the multiclass classification analyses underscore a fundamental challenge in applying machine learning </w:t>
      </w:r>
      <w:r w:rsidRPr="009640B2">
        <w:t>in low-base-rate mental health contexts</w:t>
      </w:r>
      <w:r w:rsidRPr="00603349">
        <w:t>:</w:t>
      </w:r>
      <w:r w:rsidRPr="00603349">
        <w:rPr>
          <w:rFonts w:eastAsiaTheme="majorEastAsia"/>
        </w:rPr>
        <w:t> imbalanced class distributions can severely distort model evaluation metrics</w:t>
      </w:r>
      <w:r w:rsidRPr="00603349">
        <w:t>. Although accuracy is often cited as a primary measure of performance, it can be misleading in contexts where one class</w:t>
      </w:r>
      <w:r>
        <w:t xml:space="preserve"> (</w:t>
      </w:r>
      <w:r w:rsidRPr="00603349">
        <w:t>typically the healthy or normative group</w:t>
      </w:r>
      <w:r>
        <w:t xml:space="preserve">) </w:t>
      </w:r>
      <w:r w:rsidRPr="00603349">
        <w:t xml:space="preserve">vastly outnumbers others. In such cases, a model may appear highly accurate </w:t>
      </w:r>
      <w:r w:rsidRPr="00A9220C">
        <w:t>simply by consistently predicting the majority class, while failing to identify clinically meaningful cases in underrepresented groups. This issue is particularly consequential in mental health research, where accurate detection of borderline and clinical symptom profiles is crucial for screening, diagnosis, and intervention planning.</w:t>
      </w:r>
    </w:p>
    <w:p w14:paraId="459FF323" w14:textId="77777777" w:rsidR="00432C0B" w:rsidRPr="00C65812" w:rsidRDefault="00432C0B" w:rsidP="00432C0B">
      <w:pPr>
        <w:spacing w:before="100" w:beforeAutospacing="1" w:after="100" w:afterAutospacing="1"/>
        <w:ind w:firstLine="720"/>
      </w:pPr>
      <w:r w:rsidRPr="00C65812">
        <w:t>The primary hypothesis</w:t>
      </w:r>
      <w:r>
        <w:t xml:space="preserve"> </w:t>
      </w:r>
      <w:r w:rsidRPr="00C65812">
        <w:t xml:space="preserve">that </w:t>
      </w:r>
      <w:r>
        <w:t>sMRI</w:t>
      </w:r>
      <w:r w:rsidRPr="00C65812">
        <w:t xml:space="preserve"> features could meaningfully predict internalizing symptoms</w:t>
      </w:r>
      <w:r>
        <w:t xml:space="preserve"> </w:t>
      </w:r>
      <w:r w:rsidRPr="00C65812">
        <w:t>was</w:t>
      </w:r>
      <w:r w:rsidRPr="00C65812">
        <w:rPr>
          <w:rFonts w:eastAsiaTheme="majorEastAsia"/>
        </w:rPr>
        <w:t> not supported </w:t>
      </w:r>
      <w:r w:rsidRPr="00C65812">
        <w:t xml:space="preserve">when evaluated using stringent performance metrics. Similarly, the secondary hypothesis, </w:t>
      </w:r>
      <w:r w:rsidRPr="00C24650">
        <w:rPr>
          <w:color w:val="A8D08D" w:themeColor="accent6" w:themeTint="99"/>
        </w:rPr>
        <w:t>which anticipated</w:t>
      </w:r>
      <w:r w:rsidRPr="00C24650">
        <w:rPr>
          <w:rFonts w:eastAsiaTheme="majorEastAsia"/>
          <w:color w:val="A8D08D" w:themeColor="accent6" w:themeTint="99"/>
        </w:rPr>
        <w:t> superior performance from self-report models</w:t>
      </w:r>
      <w:r w:rsidRPr="00C24650">
        <w:rPr>
          <w:color w:val="A8D08D" w:themeColor="accent6" w:themeTint="99"/>
        </w:rPr>
        <w:t xml:space="preserve">, received only limited support. </w:t>
      </w:r>
      <w:r w:rsidRPr="00C65812">
        <w:t xml:space="preserve">Although </w:t>
      </w:r>
      <w:r>
        <w:t xml:space="preserve">prediction model of child reported internalizing symptoms </w:t>
      </w:r>
      <w:r w:rsidRPr="00C65812">
        <w:lastRenderedPageBreak/>
        <w:t>demonstrated modest improvements in ROC curve patterns, these did not translate into meaningful gains in identifying clinically relevant cases.</w:t>
      </w:r>
    </w:p>
    <w:p w14:paraId="243F5AD6" w14:textId="77777777" w:rsidR="00432C0B" w:rsidRDefault="00432C0B" w:rsidP="00432C0B">
      <w:pPr>
        <w:ind w:firstLine="720"/>
        <w:rPr>
          <w:color w:val="A8D08D" w:themeColor="accent6" w:themeTint="99"/>
        </w:rPr>
      </w:pPr>
      <w:r w:rsidRPr="00A746D5">
        <w:t>Several factors likely contributed to the models’ poor performance. First, the class imbalance severely constrained the models’ ability to learn from minority cases</w:t>
      </w:r>
      <w:r>
        <w:t>, e</w:t>
      </w:r>
      <w:r w:rsidRPr="00A746D5">
        <w:t xml:space="preserve">ven with class weighting and calibration, the models continued to default to the </w:t>
      </w:r>
      <w:r>
        <w:t>h</w:t>
      </w:r>
      <w:r w:rsidRPr="00A746D5">
        <w:t xml:space="preserve">ealthy category. Second, the </w:t>
      </w:r>
      <w:r>
        <w:t xml:space="preserve">output variable, </w:t>
      </w:r>
      <w:r w:rsidRPr="00A746D5">
        <w:t>limited to symptom scores</w:t>
      </w:r>
      <w:r>
        <w:t xml:space="preserve">, </w:t>
      </w:r>
      <w:r w:rsidRPr="00A746D5">
        <w:t>may not have contained enough information to meaningfully distinguish between symptom severity levels. Third, the models lacked contextual or behavioral data that might better capture risk patterns, such as information on social environment, functioning, or life stressors.</w:t>
      </w:r>
      <w:r w:rsidRPr="00961871">
        <w:t xml:space="preserve"> </w:t>
      </w:r>
      <w:r w:rsidRPr="00C65812">
        <w:t>Taken together, these results echo longstanding concerns about the</w:t>
      </w:r>
      <w:r w:rsidRPr="00C65812">
        <w:rPr>
          <w:rFonts w:eastAsiaTheme="majorEastAsia"/>
        </w:rPr>
        <w:t> low signal-to-noise ratio in community-based samples </w:t>
      </w:r>
      <w:r w:rsidRPr="00C65812">
        <w:t xml:space="preserve">and the difficulty of extracting clinically actionable insights from neuroimaging features alone. </w:t>
      </w:r>
      <w:r w:rsidRPr="000573AA">
        <w:rPr>
          <w:color w:val="92D050"/>
        </w:rPr>
        <w:t>T</w:t>
      </w:r>
      <w:r w:rsidRPr="00846DFD">
        <w:rPr>
          <w:color w:val="A8D08D" w:themeColor="accent6" w:themeTint="99"/>
        </w:rPr>
        <w:t>hese challenges are compounded by well-documented issues in the literature, including the poor generalizability of structural MRI classifiers and the complexities introduced by</w:t>
      </w:r>
      <w:r w:rsidRPr="00846DFD">
        <w:rPr>
          <w:rFonts w:eastAsiaTheme="majorEastAsia"/>
          <w:color w:val="A8D08D" w:themeColor="accent6" w:themeTint="99"/>
        </w:rPr>
        <w:t> informant discrepancies in youth psychopathology assessment </w:t>
      </w:r>
      <w:r>
        <w:rPr>
          <w:rFonts w:eastAsiaTheme="majorEastAsia"/>
          <w:color w:val="A8D08D" w:themeColor="accent6" w:themeTint="99"/>
        </w:rPr>
        <w:fldChar w:fldCharType="begin"/>
      </w:r>
      <w:r>
        <w:rPr>
          <w:rFonts w:eastAsiaTheme="majorEastAsia"/>
          <w:color w:val="A8D08D" w:themeColor="accent6" w:themeTint="99"/>
        </w:rPr>
        <w:instrText xml:space="preserve"> ADDIN ZOTERO_ITEM CSL_CITATION {"citationID":"FWA4YHxq","properties":{"formattedCitation":"(Arbabshirani et al., 2017)","plainCitation":"(Arbabshirani et al., 2017)","noteIndex":0},"citationItems":[{"id":2003,"uris":["http://zotero.org/users/13126831/items/6D9G3VAQ","http://zotero.org/users/13126831/items/9HWMGKEL"],"itemData":{"id":2003,"type":"article-journal","abstract":"Neuroimaging-based single subject prediction of brain disorders has gained increasing attention in recent years. Using a variety of neuroimaging modalities such as structural, functional and diffusion MRI, along with machine learning techniques, hundreds of studies have been carried out for accurate classification of patients with heterogeneous mental and neurodegenerative disorders such as schizophrenia and Alzheimer's disease. More than 500 studies have been published during the past quarter century on single subject prediction focused on a multiple brain disorders. In the first part of this study, we provide a survey of more than 200 reports in this field with a focus on schizophrenia, mild cognitive impairment (MCI), Alzheimer's disease (AD), depressive disorders, autism spectrum disease (ASD) and attention-deficit hyperactivity disorder (ADHD). Detailed information about those studies such as sample size, type and number of extracted features and reported accuracy are summarized and discussed. To our knowledge, this is by far the most comprehensive review of neuroimaging-based single subject prediction of brain disorders. In the second part, we present our opinion on major pitfalls of those studies from a machine learning point of view. Common biases are discussed and suggestions are provided. Moreover, emerging trends such as decentralized data sharing, multimodal brain imaging, differential diagnosis, disease subtype classification and deep learning are also discussed. Based on this survey, there is extensive evidence showing the great potential of neuroimaging data for single subject prediction of various disorders. However, the main bottleneck of this exciting field is still the limited sample size, which could be potentially addressed by modern data sharing models such as the ones discussed in this paper. Emerging big data technologies and advanced data-intensive machine learning methodologies such as deep learning have coincided with an increasing need for accurate, robust and generalizable single subject prediction of brain disorders during an exciting time. In this report, we survey the past and offer some opinions regarding the road ahead.","collection-title":"Individual Subject Prediction","container-title":"NeuroImage","DOI":"10.1016/j.neuroimage.2016.02.079","ISSN":"1053-8119","journalAbbreviation":"NeuroImage","page":"137-165","source":"ScienceDirect","title":"Single subject prediction of brain disorders in neuroimaging: Promises and pitfalls","title-short":"Single subject prediction of brain disorders in neuroimaging","volume":"145","author":[{"family":"Arbabshirani","given":"Mohammad R."},{"family":"Plis","given":"Sergey"},{"family":"Sui","given":"Jing"},{"family":"Calhoun","given":"Vince D."}],"issued":{"date-parts":[["2017",1,15]]}}}],"schema":"https://github.com/citation-style-language/schema/raw/master/csl-citation.json"} </w:instrText>
      </w:r>
      <w:r>
        <w:rPr>
          <w:rFonts w:eastAsiaTheme="majorEastAsia"/>
          <w:color w:val="A8D08D" w:themeColor="accent6" w:themeTint="99"/>
        </w:rPr>
        <w:fldChar w:fldCharType="separate"/>
      </w:r>
      <w:r>
        <w:rPr>
          <w:rFonts w:eastAsiaTheme="majorEastAsia"/>
          <w:noProof/>
          <w:color w:val="A8D08D" w:themeColor="accent6" w:themeTint="99"/>
        </w:rPr>
        <w:t>(Arbabshirani et al., 2017)</w:t>
      </w:r>
      <w:r>
        <w:rPr>
          <w:rFonts w:eastAsiaTheme="majorEastAsia"/>
          <w:color w:val="A8D08D" w:themeColor="accent6" w:themeTint="99"/>
        </w:rPr>
        <w:fldChar w:fldCharType="end"/>
      </w:r>
      <w:r>
        <w:rPr>
          <w:rFonts w:eastAsiaTheme="majorEastAsia"/>
          <w:color w:val="A8D08D" w:themeColor="accent6" w:themeTint="99"/>
        </w:rPr>
        <w:t>.</w:t>
      </w:r>
    </w:p>
    <w:p w14:paraId="2D8C8468" w14:textId="77777777" w:rsidR="00432C0B" w:rsidRPr="009640B2" w:rsidRDefault="00432C0B" w:rsidP="00432C0B">
      <w:pPr>
        <w:ind w:firstLine="720"/>
      </w:pPr>
    </w:p>
    <w:p w14:paraId="02C05A42" w14:textId="77777777" w:rsidR="00432C0B" w:rsidRDefault="00432C0B" w:rsidP="00432C0B">
      <w:pPr>
        <w:pStyle w:val="Style3"/>
      </w:pPr>
      <w:bookmarkStart w:id="2" w:name="_Toc197122754"/>
      <w:r>
        <w:t>The Problem of Imbalanced Data</w:t>
      </w:r>
      <w:bookmarkEnd w:id="2"/>
    </w:p>
    <w:p w14:paraId="28534C9A" w14:textId="77777777" w:rsidR="00432C0B" w:rsidRPr="000573AA" w:rsidRDefault="00432C0B" w:rsidP="00432C0B">
      <w:r w:rsidRPr="00F12A4A">
        <w:t xml:space="preserve"> </w:t>
      </w:r>
      <w:r w:rsidRPr="009640B2">
        <w:t>Despite the theoretical strengths of algorithms like XGBoost in modeling complex relationships, their performance is constrained when trained on datasets that lack sufficient representation of clinically significant but rare cases</w:t>
      </w:r>
      <w:r>
        <w:t xml:space="preserve">. </w:t>
      </w:r>
      <w:r w:rsidRPr="009640B2">
        <w:t xml:space="preserve">In theory, </w:t>
      </w:r>
      <w:r>
        <w:t>XGBoost is</w:t>
      </w:r>
      <w:r w:rsidRPr="009640B2">
        <w:t xml:space="preserve"> well-suited to psychiatric research, where symptom patterns may emerge from multifactorial influences spanning behavioral, biological, and demographic domains. However, in practice, the algorithm's performance is constrained by the structure and distribution of the training data. These limitations are not surprising, given that machine learning algorithms typically require a sufficient number of </w:t>
      </w:r>
      <w:r w:rsidRPr="002513A8">
        <w:t xml:space="preserve">examples from each class to effectively learn distinctions. With 194 features and three outcome classes, </w:t>
      </w:r>
      <w:r>
        <w:t>t</w:t>
      </w:r>
      <w:r w:rsidRPr="002513A8">
        <w:t xml:space="preserve">raditional guidelines recommend at least 10 outcome events per predictor variable to avoid overfitting, although more recent research emphasizes context-specific and simulation-based </w:t>
      </w:r>
      <w:r w:rsidRPr="000573AA">
        <w:t xml:space="preserve">approaches to sample size planning </w:t>
      </w:r>
      <w:r w:rsidRPr="000573AA">
        <w:fldChar w:fldCharType="begin"/>
      </w:r>
      <w:r w:rsidRPr="000573AA">
        <w:instrText xml:space="preserve"> ADDIN ZOTERO_ITEM CSL_CITATION {"citationID":"emkJvXQy","properties":{"formattedCitation":"(Peduzzi et al., 1996; Riley et al., 2019)","plainCitation":"(Peduzzi et al., 1996; Riley et al., 2019)","noteIndex":0},"citationItems":[{"id":235,"uris":["http://zotero.org/users/13126831/items/9SNSTZVS","http://zotero.org/users/13126831/items/X7LXQGUN"],"itemData":{"id":235,"type":"article-journal","abstract":"We performed a Monte Carlo study to evaluate the effect of the number of events per variable (EPV) analyzed in logistic regression analysis. The simulations were based on data from a cardiac trial of 673 patients in which 252 deaths occurred and seven variables were cogent predictors of mortality","container-title":"J Clin Epidemiol","DOI":"10.1016/S0895-4356(96)00236-3","ISSN":"0895-4356","issue":"12","journalAbbreviation":"J CLIN EPIDEMIOL","note":"publisher-place: OXFORD\npublisher: OXFORD: Elsevier Inc","page":"1373-1379","title":"A simulation study of the number of events per variable in logistic regression analysis","volume":"49","author":[{"family":"Peduzzi","given":"Peter"},{"family":"Concato","given":"John"},{"family":"Kemper","given":"Elizabeth"},{"family":"Holford","given":"Theodore R."},{"family":"Feinstein","given":"Alvan R."}],"issued":{"date-parts":[["1996"]]}},"label":"page"},{"id":4570,"uris":["http://zotero.org/users/13126831/items/EETFT9SZ"],"itemData":{"id":4570,"type":"article-journal","abstract":"When designing a study to develop a new prediction model with binary or time‐to‐event outcomes, researchers should ensure their sample size is adequate in terms of the number of participants (n) and outcome events (E) relative to the number of predictor parameters (p) considered for inclusion. We propose that the minimum values of n and E (and subsequently the minimum number of events per predictor parameter, EPP) should be calculated to meet the following three criteria: (i) small optimism in predictor effect estimates as defined by a global shrinkage factor of ≥0.9, (ii) small absolute difference of ≤ 0.05 in the model's apparent and adjusted Nagelkerke's R2, and (iii) precise estimation of the overall risk in the population. Criteria (i) and (ii) aim to reduce overfitting conditional on a chosen p, and require prespecification of the model's anticipated Cox‐Snell R2, which we show can be obtained from previous studies. The values of n and E that meet all three criteria provides the minimum sample size required for model development. Upon application of our approach, a new diagnostic model for Chagas disease requires an EPP of at least 4.8 and a new prognostic model for recurrent venous thromboembolism requires an EPP of at least 23. This reinforces why rules of thumb (eg, 10 EPP) should be avoided. Researchers might additionally ensure the sample size gives precise estimates of key predictor effects","container-title":"Stat Med","DOI":"10.1002/sim.7992","ISSN":"0277-6715","issue":"7","note":"publisher-place: England\npublisher: England: Wiley Subscription Services, Inc","page":"1276-1296","title":"Minimum sample size for developing a multivariable prediction model: PART II ‐ binary and time‐to‐event outcomes","volume":"38","author":[{"family":"Riley","given":"Richard D"},{"family":"Snell","given":"Kym IE"},{"family":"Ensor","given":"Joie"},{"family":"Burke","given":"Danielle L"},{"family":"Harrell Jr","given":"Frank E"},{"family":"Moons","given":"Karel GM"},{"family":"Collins","given":"Gary S"}],"issued":{"date-parts":[["2019"]]}},"label":"page"}],"schema":"https://github.com/citation-style-language/schema/raw/master/csl-citation.json"} </w:instrText>
      </w:r>
      <w:r w:rsidRPr="000573AA">
        <w:fldChar w:fldCharType="separate"/>
      </w:r>
      <w:r w:rsidRPr="000573AA">
        <w:t>(Peduzzi et al., 1996; Riley et al., 2019)</w:t>
      </w:r>
      <w:r w:rsidRPr="000573AA">
        <w:fldChar w:fldCharType="end"/>
      </w:r>
      <w:r w:rsidRPr="000573AA">
        <w:t xml:space="preserve">. Applying the 10-events-per-variable rule post hoc suggests a minimum of 5,820 observations for balanced class representation (10 × 194 × 3). While our dataset included 6,460 total observations, only 109 were labeled as clinical cases. Using the same logic, the clinical group alone would require </w:t>
      </w:r>
      <w:r w:rsidRPr="000573AA">
        <w:lastRenderedPageBreak/>
        <w:t>at least 1,940 observations (10 × 194) to ensure stable performance. Although the sample fell short of this threshold, we applied several best-practice methods—such as class weighting, threshold calibration, and rigorous hyperparameter tuning—to mitigate the effects of class imbalance. Nonetheless, the limited size of the clinical group likely constrained the model’s ability to learn robust decision boundaries for that class, contributing to its poor sensitivity.</w:t>
      </w:r>
    </w:p>
    <w:p w14:paraId="1EAE7363" w14:textId="77777777" w:rsidR="00432C0B" w:rsidRDefault="00432C0B" w:rsidP="00432C0B">
      <w:pPr>
        <w:ind w:firstLine="720"/>
      </w:pPr>
      <w:r>
        <w:t>This</w:t>
      </w:r>
      <w:r w:rsidRPr="000573AA">
        <w:t xml:space="preserve"> limitation stems in part from the nature of the</w:t>
      </w:r>
      <w:r w:rsidRPr="009640B2">
        <w:t xml:space="preserve"> loss function used during model training. XGBoost minimizes log loss, </w:t>
      </w:r>
      <w:r w:rsidRPr="00CA73A2">
        <w:t>standard loss functions like cross-entropy prioritize the global minimization of prediction error,</w:t>
      </w:r>
      <w:r w:rsidRPr="009640B2">
        <w:t xml:space="preserve"> it aims to reduce average error across all cases</w:t>
      </w:r>
      <w:r>
        <w:t xml:space="preserve"> </w:t>
      </w:r>
      <w:r>
        <w:fldChar w:fldCharType="begin"/>
      </w:r>
      <w:r>
        <w:instrText xml:space="preserve"> ADDIN ZOTERO_ITEM CSL_CITATION {"citationID":"T62ogfnA","properties":{"formattedCitation":"(Ng, 2004)","plainCitation":"(Ng, 2004)","noteIndex":0},"citationItems":[{"id":4516,"uris":["http://zotero.org/users/13126831/items/J45NH86E"],"itemData":{"id":4516,"type":"paper-conference","container-title":"Twenty-first international conference on Machine learning  - ICML '04","DOI":"10.1145/1015330.1015435","event-place":"Banff, Alberta, Canada","event-title":"Twenty-first international conference","language":"en","page":"78","publisher":"ACM Press","publisher-place":"Banff, Alberta, Canada","source":"DOI.org (Crossref)","title":"Feature selection, &lt;i&gt;L&lt;/i&gt;&lt;sub&gt;1&lt;/sub&gt; vs. &lt;i&gt;L&lt;/i&gt;&lt;sub&gt;2&lt;/sub&gt; regularization, and rotational invariance","URL":"http://portal.acm.org/citation.cfm?doid=1015330.1015435","author":[{"family":"Ng","given":"Andrew Y."}],"accessed":{"date-parts":[["2025",4,29]]},"issued":{"date-parts":[["2004"]]}}}],"schema":"https://github.com/citation-style-language/schema/raw/master/csl-citation.json"} </w:instrText>
      </w:r>
      <w:r>
        <w:fldChar w:fldCharType="separate"/>
      </w:r>
      <w:r>
        <w:rPr>
          <w:noProof/>
        </w:rPr>
        <w:t>(Ng, 2004)</w:t>
      </w:r>
      <w:r>
        <w:fldChar w:fldCharType="end"/>
      </w:r>
      <w:r>
        <w:t xml:space="preserve">. </w:t>
      </w:r>
      <w:r w:rsidRPr="009640B2">
        <w:t>W</w:t>
      </w:r>
      <w:r w:rsidRPr="00CA73A2">
        <w:t>ithout class rebalancing techniques, they offer minimal learning signal for rare outcomes</w:t>
      </w:r>
      <w:r>
        <w:t xml:space="preserve"> </w:t>
      </w:r>
      <w:r>
        <w:fldChar w:fldCharType="begin"/>
      </w:r>
      <w:r>
        <w:instrText xml:space="preserve"> ADDIN ZOTERO_ITEM CSL_CITATION {"citationID":"KQJxoCan","properties":{"formattedCitation":"(He &amp; Garcia, 2009)","plainCitation":"(He &amp; Garcia, 2009)","noteIndex":0},"citationItems":[{"id":4458,"uris":["http://zotero.org/users/13126831/items/9PDAPIKY"],"itemData":{"id":4458,"type":"article-journal","abstract":"With the continuous expansion of data availability in many large-scale, complex, and networked systems, such as surveillance, security, Internet, and finance, it becomes critical to advance the fundamental understanding of knowledge discovery and analysis from raw data to support decision-making processes. Although existing knowledge discovery and data engineering techniques have shown great success in many real-world applications, the problem of learning from imbalanced data (the imbalanced learning problem) is a relatively new challenge that has attracted growing attention from both academia and industry. The imbalanced learning problem is concerned with the performance of learning algorithms in the presence of underrepresented data and severe class distribution skews. Due to the inherent complex characteristics of imbalanced data sets, learning from such data requires new understandings, principles, algorithms, and tools to transform vast amounts of raw data efficiently into information and knowledge representation. In this paper, we provide a comprehensive review of the development of research in learning from imbalanced data. Our focus is to provide a critical review of the nature of the problem, the state-of-the-art technologies, and the current assessment metrics used to evaluate learning performance under the imbalanced learning scenario. Furthermore, in order to stimulate future research in this field, we also highlight the major opportunities and challenges, as well as potential important research directions for learning from imbalanced data.","container-title":"IEEE Transactions on Knowledge and Data Engineering","DOI":"10.1109/TKDE.2008.239","ISSN":"1558-2191","issue":"9","page":"1263-1284","source":"IEEE Xplore","title":"Learning from Imbalanced Data","volume":"21","author":[{"family":"He","given":"Haibo"},{"family":"Garcia","given":"Edwardo A."}],"issued":{"date-parts":[["2009",9]]}}}],"schema":"https://github.com/citation-style-language/schema/raw/master/csl-citation.json"} </w:instrText>
      </w:r>
      <w:r>
        <w:fldChar w:fldCharType="separate"/>
      </w:r>
      <w:r>
        <w:rPr>
          <w:noProof/>
        </w:rPr>
        <w:t>(He &amp; Garcia, 2009)</w:t>
      </w:r>
      <w:r>
        <w:fldChar w:fldCharType="end"/>
      </w:r>
      <w:r>
        <w:t xml:space="preserve">. </w:t>
      </w:r>
      <w:r w:rsidRPr="009640B2">
        <w:t>Consequently, the model learns to be highly confident in classifying healthy cases, while failing to sufficiently learn patterns distinguishing the rarer borderline and clinical groups</w:t>
      </w:r>
      <w:r w:rsidRPr="000573AA">
        <w:rPr>
          <w:color w:val="000000" w:themeColor="text1"/>
        </w:rPr>
        <w:t>.</w:t>
      </w:r>
      <w:r w:rsidRPr="00CA73A2">
        <w:rPr>
          <w:color w:val="000000" w:themeColor="text1"/>
        </w:rPr>
        <w:t xml:space="preserve"> </w:t>
      </w:r>
      <w:r w:rsidRPr="00CA73A2">
        <w:t>This is likely because the underlying representations learned by the model failed to meaningfully differentiate those groups in the first place. The slightly better sensitivity observed in the CBCL-based model may reflect greater parent-report consistency, but overall classification performance remained far from clinically actionable.</w:t>
      </w:r>
    </w:p>
    <w:p w14:paraId="258D535D" w14:textId="77777777" w:rsidR="00432C0B" w:rsidRPr="00225B32" w:rsidRDefault="00432C0B" w:rsidP="00432C0B">
      <w:pPr>
        <w:ind w:firstLine="720"/>
      </w:pPr>
    </w:p>
    <w:p w14:paraId="39C3EBAE" w14:textId="77777777" w:rsidR="00432C0B" w:rsidRPr="006E6A88" w:rsidRDefault="00432C0B" w:rsidP="00432C0B">
      <w:pPr>
        <w:pStyle w:val="Style3"/>
      </w:pPr>
      <w:r w:rsidRPr="006E6A88">
        <w:t>Challenges of Using Symptom Scores for Prediction</w:t>
      </w:r>
    </w:p>
    <w:p w14:paraId="2C354455" w14:textId="77777777" w:rsidR="00432C0B" w:rsidRPr="00DB1D0F" w:rsidRDefault="00432C0B" w:rsidP="00432C0B">
      <w:r w:rsidRPr="00DB1D0F">
        <w:t>Another limitation may stem from the nature of the target variable itself</w:t>
      </w:r>
      <w:r>
        <w:t>,</w:t>
      </w:r>
      <w:r w:rsidRPr="00DB1D0F">
        <w:t xml:space="preserve"> symptom checklist scores, while standardized and widely used, may lack the granularity needed to distinguish between subtle variations in internalizing symptom severity. Instruments such as the</w:t>
      </w:r>
      <w:r w:rsidRPr="00DB1D0F">
        <w:rPr>
          <w:rFonts w:eastAsiaTheme="majorEastAsia"/>
        </w:rPr>
        <w:t> CBCL </w:t>
      </w:r>
      <w:r w:rsidRPr="00DB1D0F">
        <w:t>and</w:t>
      </w:r>
      <w:r w:rsidRPr="00DB1D0F">
        <w:rPr>
          <w:rFonts w:eastAsiaTheme="majorEastAsia"/>
        </w:rPr>
        <w:t> BPM </w:t>
      </w:r>
      <w:r w:rsidRPr="00DB1D0F">
        <w:t>are popular in youth mental health research due to their efficiency and strong psychometric properties</w:t>
      </w:r>
      <w:r>
        <w:t xml:space="preserve"> </w:t>
      </w:r>
      <w:r>
        <w:fldChar w:fldCharType="begin"/>
      </w:r>
      <w:r>
        <w:instrText xml:space="preserve"> ADDIN ZOTERO_ITEM CSL_CITATION {"citationID":"nTXAcOIf","properties":{"formattedCitation":"(Achenbach, 2001)","plainCitation":"(Achenbach, 2001)","noteIndex":0},"citationItems":[{"id":3258,"uris":["http://zotero.org/users/13126831/items/8SUUHJ2A"],"itemData":{"id":3258,"type":"book","event-place":"Burlington, Vt","ISBN":"0-938565-73-7","publisher":"ASEBA","publisher-place":"Burlington, Vt","title":"Manual for the ASEBA school-age forms &amp; profiles : child behavior checklist for ages 6-18, teacher's report form, youth self-report : an integrated system of multi-informant assessment","author":[{"family":"Achenbach","given":"Thomas M"}],"collection-editor":[{"family":"Rescorla","given":"Leslie"}],"issued":{"date-parts":[["2001"]]}}}],"schema":"https://github.com/citation-style-language/schema/raw/master/csl-citation.json"} </w:instrText>
      </w:r>
      <w:r>
        <w:fldChar w:fldCharType="separate"/>
      </w:r>
      <w:r>
        <w:rPr>
          <w:noProof/>
        </w:rPr>
        <w:t>(Achenbach, 2001)</w:t>
      </w:r>
      <w:r>
        <w:fldChar w:fldCharType="end"/>
      </w:r>
      <w:r w:rsidRPr="00DB1D0F">
        <w:t>. However, they often fail to capture the full complexity of symptom presentation, particularly in</w:t>
      </w:r>
      <w:r w:rsidRPr="00DB1D0F">
        <w:rPr>
          <w:rFonts w:eastAsiaTheme="majorEastAsia"/>
        </w:rPr>
        <w:t> non-clinical populations </w:t>
      </w:r>
      <w:r w:rsidRPr="00DB1D0F">
        <w:t xml:space="preserve">where expressions of internalizing distress may be subthreshold, situational, or masked by social desirability biases </w:t>
      </w:r>
      <w:r>
        <w:fldChar w:fldCharType="begin"/>
      </w:r>
      <w:r>
        <w:instrText xml:space="preserve"> ADDIN ZOTERO_ITEM CSL_CITATION {"citationID":"SsWmj92g","properties":{"formattedCitation":"(De Los Reyes &amp; Kazdin, 2005; Youngstrom et al., 2000)","plainCitation":"(De Los Reyes &amp; Kazdin, 2005; Youngstrom et al., 2000)","noteIndex":0},"citationItems":[{"id":3423,"uris":["http://zotero.org/users/13126831/items/M7QAGTAS"],"itemData":{"id":3423,"type":"article-journal","abstract":"Discrepancies often exist among different informants’ (e.g., parents, children, teachers) ratings of child psychopathology. Informant discrepancies have an impact on the assessment, classification, and treatment of childhood psychopathology. Empirical work has identified informant characteristics that may influence informant discrepancies. Limitations of previous work include inconsistent measurement of informant discrepancies and, perhaps most importantly, the absence of a theoretical framework to guide research. In this article, the authors present a theoretical framework (the Attribution Bias Context Model) to guide research and theory examining informant discrepancies in the clinic setting. Needed directions for future research and theory include theoretically driven attention to conceptualizing informant discrepancies across informant pairs (e.g., parent–teacher, mother–father, parent– child, teacher– child) as well as developing experimental approaches to decrease informant discrepanc</w:instrText>
      </w:r>
      <w:r w:rsidRPr="00432C0B">
        <w:instrText>ies in the clinic setting.","container-title":"</w:instrText>
      </w:r>
      <w:r w:rsidRPr="00985CF3">
        <w:instrText xml:space="preserve">Psychological Bulletin","DOI":"10.1037/0033-2909.131.4.483","ISSN":"1939-1455, 0033-2909","issue":"4","journalAbbreviation":"Psychological Bulletin","language":"en","page":"483-509","source":"DOI.org (Crossref)","title":"Informant Discrepancies in the Assessment of Childhood Psychopathology: A Critical Review, Theoretical Framework, and Recommendations for Further Study.","title-short":"Informant Discrepancies in the Assessment of Childhood Psychopathology","volume":"131","author":[{"family":"De Los Reyes","given":"Andres"},{"family":"Kazdin","given":"Alan E."}],"issued":{"date-parts":[["2005"]]}},"label":"page"},{"id":3417,"uris":["http://zotero.org/users/13126831/items/UUKHG6RF"],"itemData":{"id":3417,"type":"article-journal","container-title":"Journal of Consulting and Clinical Psychology","DOI":"10.1037/0022-006X.68.6.1038","ISSN":"1939-2117, 0022-006X","issue":"6","journalAbbreviation":"Journal of Consulting and Clinical Psychology","language":"en","page":"1038-1050","source":"DOI.org (Crossref)","title":"Patterns and correlates of agreement between parent, teacher, and male adolescent ratings of externalizing and internalizing problems.","volume":"68","author":[{"family":"Youngstrom","given":"Eric"},{"family":"Loeber","given":"Rolf"},{"family":"Stouthamer-Loeber","given":"Magda"}],"issued":{"date-parts":[["2000"]]}},"label":"page"}],"schema":"https://github.com/citation-style-language/schema/raw/master/csl-citation.json"} </w:instrText>
      </w:r>
      <w:r>
        <w:fldChar w:fldCharType="separate"/>
      </w:r>
      <w:r w:rsidRPr="00985CF3">
        <w:rPr>
          <w:noProof/>
        </w:rPr>
        <w:t>(De Los Reyes &amp; Kazdin, 2005; Youngstrom et al., 2000)</w:t>
      </w:r>
      <w:r>
        <w:fldChar w:fldCharType="end"/>
      </w:r>
      <w:r>
        <w:t xml:space="preserve">. </w:t>
      </w:r>
      <w:r w:rsidRPr="00DB1D0F">
        <w:t>These limitations are especially pronounced in self-report measures, which are prone to underreporting and inconsistent agreement with external informants</w:t>
      </w:r>
      <w:r>
        <w:t xml:space="preserve"> </w:t>
      </w:r>
      <w:r>
        <w:fldChar w:fldCharType="begin"/>
      </w:r>
      <w:r>
        <w:instrText xml:space="preserve"> ADDIN ZOTERO_ITEM CSL_CITATION {"citationID":"kxahsdyU","properties":{"formattedCitation":"(De Los Reyes et al., 2015)","plainCitation":"(De Los Reyes et al., 2015)","noteIndex":0},"citationItems":[{"id":2919,"uris":["http://zotero.org/users/13126831/items/P4Z68G3E"],"itemData":{"id":2919,"type":"article-journal","abstract":"Child and adolescent patients may display mental health concerns within some contexts and not others (e.g., home vs. school). Thus, understanding the specific contexts in which patients display concerns may assist mental health professionals in tailoring treatments to patients’ needs. Consequently, clinical assessments often include reports from multiple informants who vary in the contexts in which they observe patients’ behavior (e.g., patients, parents, teachers). Previous meta-analyses indicate that informants’ reports correlate at low-to-moderate magnitudes. However, is it valid to interpret low correspondence among reports as indicating that patients display concerns in some contexts and not others? We meta-analyzed 341 studies published between 1989 and 2014 that reported cross-informant correspondence estimates, and observed low-to-moderate correspondence (mean internalizing: r   .25; mean externalizing: r   .30; mean overall: r   .28). Informant pair, mental health domain, and measurement method moderated magnitudes of correspondence. These robust findings have informed the development of concepts for interpreting multi-informant assessments, allowing researchers to draw specific predictions</w:instrText>
      </w:r>
      <w:r w:rsidRPr="00432C0B">
        <w:instrText xml:space="preserve"> about the increment</w:instrText>
      </w:r>
      <w:r w:rsidRPr="00DB515C">
        <w:instrText xml:space="preserve">al and construct validity of these assessments. In turn, we critically evaluated research on the incremental and construct validity of the multi-informant approach to clinical child and adolescent assessment. In so doing, we identify crucial gaps in knowledge for future research, and provide recommendations for “best practices” in using and interpreting multi-informant assessments in clinical work and research. This article has important implications for developing personalized approaches to clinical assessment, with the goal of informing techniques for tailoring treatments to target the specific contexts where patients display concerns.","container-title":"Psychological Bulletin","DOI":"10.1037/a0038498","ISSN":"1939-1455, 0033-2909","issue":"4","journalAbbreviation":"Psychological Bulletin","language":"en","license":"http://www.apa.org/pubs/journals/resources/open-access.aspx","page":"858-900","source":"DOI.org (Crossref)","title":"The validity of the multi-informant approach to assessing child and adolescent mental health.","volume":"141","author":[{"family":"De Los Reyes","given":"Andres"},{"family":"Augenstein","given":"Tara M."},{"family":"Wang","given":"Mo"},{"family":"Thomas","given":"Sarah A."},{"family":"Drabick","given":"Deborah A. G."},{"family":"Burgers","given":"Darcy E."},{"family":"Rabinowitz","given":"Jill"}],"issued":{"date-parts":[["2015",7]]}}}],"schema":"https://github.com/citation-style-language/schema/raw/master/csl-citation.json"} </w:instrText>
      </w:r>
      <w:r>
        <w:fldChar w:fldCharType="separate"/>
      </w:r>
      <w:r w:rsidRPr="00DB515C">
        <w:rPr>
          <w:noProof/>
        </w:rPr>
        <w:t>(De Los Reyes et al., 2015)</w:t>
      </w:r>
      <w:r>
        <w:fldChar w:fldCharType="end"/>
      </w:r>
      <w:r>
        <w:t xml:space="preserve">. </w:t>
      </w:r>
      <w:r w:rsidRPr="00961871">
        <w:t>These factors contribute to high intra-individual variability and frequent underreporting of internalizing symptoms</w:t>
      </w:r>
      <w:r>
        <w:t xml:space="preserve">, </w:t>
      </w:r>
      <w:r w:rsidRPr="00961871">
        <w:t>which in turn diminishes the reliability and discriminative power of the symptom data</w:t>
      </w:r>
      <w:r>
        <w:t xml:space="preserve"> </w:t>
      </w:r>
      <w:r>
        <w:fldChar w:fldCharType="begin"/>
      </w:r>
      <w:r>
        <w:instrText xml:space="preserve"> ADDIN ZOTERO_ITEM CSL_CITATION {"citationID":"8Yj21y8D","properties":{"formattedCitation":"(Achenbach et al., 1987)","plainCitation":"(Achenbach et al., 1987)","noteIndex":0},"citationItems":[{"id":3425,"uris":["http://zotero.org/users/13126831/items/SBWF83ET"],"itemData":{"id":3425,"type":"article-journal","abstract":"Our purpose in this article was to determine the degree of consistency between different informants' reports of the behavioral/emotional problems of subjects aged from 1½ to 19 years. We found 269 samples in 119 studies for meta-analyses of Pearson\nr\ns between ratings by parents, teachers, mental health workers, observers, peers, and the subjects themselves. The mean\nr\ns between all types of informants were statistically significant. The mean\nr\ns were .60 between similar informants (e.g., pairs of parents), .28 between different types of informants (e.g., parent/teacher), and .22 between subjects and other informants. Correlations were significantly higher for 6- to 11-year-olds than for adolescents, and for undercontrolled versus overcontrolled problems, although these differences were not large. The modest correlations between informants indicate that child and adolescent problems are not effectively captured by present-versus-absent judgments of problems. Instead, the variations between reports by different informants argue for assessment in terms of multiple axes designed to reflect the perceived variations in child and adolescent functioning.","container-title":"Psychol Bull","DOI":"10.1037/0033-2909.101.2.213","ISSN":"0033-2909","issue":"2","note":"publisher-place: Washington, DC\npublisher: Washington, DC: American Psychological Association","page":"213-232","title":"Child/Adolescent Behavioral and Emotional Problems: Implications of Cross-Informant Correlations for Situational Specificity","volume":"101","author":[{"family":"Achenbach","given":"Thomas M"},{"family":"McConaughy","given":"Stephanie H"},{"family":"Howell","given":"Catherine T"}],"issued":{"date-parts":[["1987"]]}}}],"schema":"https://github.com/citation-style-language/schema/raw/master/csl-citation.json"} </w:instrText>
      </w:r>
      <w:r>
        <w:fldChar w:fldCharType="separate"/>
      </w:r>
      <w:r>
        <w:rPr>
          <w:noProof/>
        </w:rPr>
        <w:t>(Achenbach et al., 1987)</w:t>
      </w:r>
      <w:r>
        <w:fldChar w:fldCharType="end"/>
      </w:r>
      <w:r w:rsidRPr="00961871">
        <w:t>.</w:t>
      </w:r>
    </w:p>
    <w:p w14:paraId="128B4DB8" w14:textId="77777777" w:rsidR="00432C0B" w:rsidRPr="003263E6" w:rsidRDefault="00432C0B" w:rsidP="00432C0B">
      <w:pPr>
        <w:ind w:firstLine="720"/>
      </w:pPr>
      <w:r w:rsidRPr="003263E6">
        <w:lastRenderedPageBreak/>
        <w:t>Recent findings by</w:t>
      </w:r>
      <w:r w:rsidRPr="003263E6">
        <w:rPr>
          <w:rFonts w:eastAsiaTheme="majorEastAsia"/>
        </w:rPr>
        <w:t> Ivankovic et al. (2024) </w:t>
      </w:r>
      <w:r w:rsidRPr="003263E6">
        <w:t xml:space="preserve">support this concern. In their study, the authors compared dimensional ratings of </w:t>
      </w:r>
      <w:r>
        <w:t>OCD</w:t>
      </w:r>
      <w:r w:rsidRPr="003263E6">
        <w:t xml:space="preserve"> symptoms on the CBCL with clinical OCD diagnoses</w:t>
      </w:r>
      <w:r>
        <w:t xml:space="preserve"> </w:t>
      </w:r>
      <w:r>
        <w:fldChar w:fldCharType="begin"/>
      </w:r>
      <w:r>
        <w:instrText xml:space="preserve"> ADDIN ZOTERO_ITEM CSL_CITATION {"citationID":"JEQeex5L","properties":{"formattedCitation":"(Ivankovic et al., 2024)","plainCitation":"(Ivankovic et al., 2024)","noteIndex":0},"citationItems":[{"id":2515,"uris":["http://zotero.org/users/13126831/items/B26DNM3D"],"itemData":{"id":2515,"type":"article-journal","abstract":"Background The Adolescent Brain Cognitive Development (ABCD) study is a longitudinal study of US adolescents with a wide breadth of psychiatric, neuroimaging and genetic data that can be leveraged to better understand psychiatric diseases. The reliability and validity of the psychiatric data collected have not yet been examined. This study aims to explore and optimize the reliability/validity of psychiatric diagnostic constructs in the ABCD study. Methods Parent‐and‐child‐reported psychiatric data for 11,876 children (aged 9.5 ± 0.5 at first assessment) were examined over 4 years to derive specific constructs for psychiatric diagnoses using longitudinal information. Rates of psychiatric disorders were calculated and compared to those reported in the epidemiological literature. Results The rates of self‐reported psychiatric disorders at any single time point (broad diagnostic construct) were higher than indicated by epidemiological studies. Narrow diagnostic constructs, which required the endorsement of psychiatric disorders at a majority of longitudinal assessments, demonstrated a better rate approximation of literature‐reported prevalences for most disorders (e.g. the prevalence of broad obsessive‐compulsive disorder (OCD) was 13.3% compared to narrow OCD at 2.6% and a literature‐reported prevalence of 2.3%). Analysis of comorbidity, using OCD as a representative example, also showed a better approximation of literature‐reported comorbidity rates using the narrow construct, with some exceptions. Conclusions Self‐ or parent‐report‐based assessments tend to overestimate prevalences of psychiatric disorders in the ABCD Study, particularly when longitudinal data are summed to create lifetime prevalences. Such assessments should be accompanied by more in‐depth assessments or clinician‐administered structured interviews if using data where accurate disorder classifications are paramount.","container-title":"Journal of child psychology and psychiatry","DOI":"10.1111/jcpp.14054","ISSN":"0021-9630","title":"Optimization of self‐ or parent‐reported psychiatric phenotypes in longitudinal studies","author":[{"family":"Ivankovic","given":"Franjo"},{"family":"Johnson","given":"Sharon"},{"family":"Shen","given":"James"},{"family":"Scharf","given":"Jeremiah M."},{"family":"Mathews","given":"Carol A."}],"issued":{"date-parts":[["2024"]]}}}],"schema":"https://github.com/citation-style-language/schema/raw/master/csl-citation.json"} </w:instrText>
      </w:r>
      <w:r>
        <w:fldChar w:fldCharType="separate"/>
      </w:r>
      <w:r>
        <w:rPr>
          <w:noProof/>
        </w:rPr>
        <w:t>(Ivankovic et al., 2024)</w:t>
      </w:r>
      <w:r>
        <w:fldChar w:fldCharType="end"/>
      </w:r>
      <w:r w:rsidRPr="003263E6">
        <w:t xml:space="preserve">. They found that while elevated scores on symptom checklists were generally associated with an OCD diagnosis, they did not reliably distinguish youth with clinically significant OCD from those with milder or subclinical symptom patterns. Notably, parent-reported </w:t>
      </w:r>
      <w:r w:rsidRPr="003A4228">
        <w:rPr>
          <w:color w:val="92D050"/>
        </w:rPr>
        <w:t>obsessions showed a stronger relationship with diagnosis</w:t>
      </w:r>
      <w:r w:rsidRPr="003263E6">
        <w:t>, suggesting that internalizing symptoms may need to reach a threshold of external observability to reflect clinically meaningful distress. These findings reinforce the rationale for examining internalizing symptoms in predictive models but also highlight the importance of considering</w:t>
      </w:r>
      <w:r w:rsidRPr="003263E6">
        <w:rPr>
          <w:rFonts w:eastAsiaTheme="majorEastAsia"/>
        </w:rPr>
        <w:t> informant effects</w:t>
      </w:r>
      <w:r w:rsidRPr="003263E6">
        <w:t>, particularly when modeling brain–behavior relationships</w:t>
      </w:r>
      <w:r>
        <w:t xml:space="preserve">. </w:t>
      </w:r>
    </w:p>
    <w:p w14:paraId="05314159" w14:textId="77777777" w:rsidR="00432C0B" w:rsidRPr="003263E6" w:rsidRDefault="00432C0B" w:rsidP="00432C0B">
      <w:pPr>
        <w:ind w:firstLine="720"/>
      </w:pPr>
    </w:p>
    <w:p w14:paraId="4DA49AF8" w14:textId="77777777" w:rsidR="00432C0B" w:rsidRPr="00961871" w:rsidRDefault="00432C0B" w:rsidP="00432C0B">
      <w:pPr>
        <w:pStyle w:val="Style3"/>
      </w:pPr>
      <w:bookmarkStart w:id="3" w:name="_Toc197122756"/>
      <w:r>
        <w:t>Lack of contextual and behavioral data</w:t>
      </w:r>
      <w:bookmarkEnd w:id="3"/>
    </w:p>
    <w:p w14:paraId="3ED9F94E" w14:textId="77777777" w:rsidR="00432C0B" w:rsidRDefault="00432C0B" w:rsidP="00432C0B">
      <w:pPr>
        <w:rPr>
          <w:color w:val="000000"/>
        </w:rPr>
      </w:pPr>
      <w:r w:rsidRPr="00961871">
        <w:t xml:space="preserve">Third, the </w:t>
      </w:r>
      <w:r w:rsidRPr="006E6A88">
        <w:t xml:space="preserve">models did not incorporate contextual or behavioral </w:t>
      </w:r>
      <w:commentRangeStart w:id="4"/>
      <w:r w:rsidRPr="006E6A88">
        <w:t xml:space="preserve">data that could have provided a richer understanding of the individual’s psychosocial environment. </w:t>
      </w:r>
      <w:commentRangeEnd w:id="4"/>
      <w:r w:rsidRPr="006E6A88">
        <w:commentReference w:id="4"/>
      </w:r>
      <w:r w:rsidRPr="006E6A88">
        <w:t xml:space="preserve"> This is a notable limitation, as internalizing symptoms are shaped by complex interactions among personal, social, and environmental influences</w:t>
      </w:r>
      <w:r w:rsidRPr="006E6A88">
        <w:rPr>
          <w:rFonts w:eastAsiaTheme="majorEastAsia"/>
        </w:rPr>
        <w:t> </w:t>
      </w:r>
      <w:r w:rsidRPr="006E6A88">
        <w:rPr>
          <w:rFonts w:eastAsiaTheme="majorEastAsia"/>
        </w:rPr>
        <w:fldChar w:fldCharType="begin"/>
      </w:r>
      <w:r w:rsidRPr="006E6A88">
        <w:rPr>
          <w:rFonts w:eastAsiaTheme="majorEastAsia"/>
        </w:rPr>
        <w:instrText xml:space="preserve"> ADDIN ZOTERO_ITEM CSL_CITATION {"citationID":"IhmXBxh9","properties":{"formattedCitation":"(Insel, 2017)","plainCitation":"(Insel, 2017)","noteIndex":0},"citationItems":[{"id":4574,"uris":["http://zotero.org/users/13126831/items/A724V3A9"],"itemData":{"id":4574,"type":"article-journal","abstract":"Digital phenotyping is the term now used for describing new approach to measuring behavior from smartphone sensors, keyboard interaction, and various features of voice and speech. Already digital phenotyping is revealing new aspects of behavior that appear clinically relevant. Here, Insel examines whether smartphone measures collected continuously in a patient's ecosystem will prove better at predicting clinical outcomes than episodic rating scales collected in a clinical setting.","container-title":"JAMA","DOI":"10.1001/jama.2017.11295","ISSN":"0098-7484","issue":"13","note":"publisher-place: United States\npublisher: United States: American Medical Association","page":"1215-1216","title":"Digital Phenotyping: Technology for a New Science of Behavior","volume":"318","author":[{"family":"Insel","given":"Thomas R"}],"issued":{"date-parts":[["2017"]]}}}],"schema":"https://github.com/citation-style-language/schema/raw/master/csl-citation.json"} </w:instrText>
      </w:r>
      <w:r w:rsidRPr="006E6A88">
        <w:rPr>
          <w:rFonts w:eastAsiaTheme="majorEastAsia"/>
        </w:rPr>
        <w:fldChar w:fldCharType="separate"/>
      </w:r>
      <w:r w:rsidRPr="006E6A88">
        <w:rPr>
          <w:rFonts w:eastAsiaTheme="majorEastAsia"/>
        </w:rPr>
        <w:t>(Insel, 2017)</w:t>
      </w:r>
      <w:r w:rsidRPr="006E6A88">
        <w:rPr>
          <w:rFonts w:eastAsiaTheme="majorEastAsia"/>
        </w:rPr>
        <w:fldChar w:fldCharType="end"/>
      </w:r>
      <w:r>
        <w:rPr>
          <w:rFonts w:eastAsiaTheme="majorEastAsia"/>
        </w:rPr>
        <w:t>.</w:t>
      </w:r>
    </w:p>
    <w:p w14:paraId="4B3DFDAD" w14:textId="77777777" w:rsidR="00432C0B" w:rsidRDefault="00432C0B" w:rsidP="00432C0B">
      <w:pPr>
        <w:rPr>
          <w:color w:val="000000"/>
        </w:rPr>
      </w:pPr>
    </w:p>
    <w:p w14:paraId="2439B59C" w14:textId="77777777" w:rsidR="00432C0B" w:rsidRDefault="00432C0B" w:rsidP="00432C0B">
      <w:pPr>
        <w:pStyle w:val="Style2"/>
      </w:pPr>
      <w:bookmarkStart w:id="5" w:name="_Toc197122757"/>
      <w:r>
        <w:t>Implications for Future Research</w:t>
      </w:r>
      <w:bookmarkEnd w:id="5"/>
    </w:p>
    <w:p w14:paraId="54F8DA64" w14:textId="77777777" w:rsidR="00432C0B" w:rsidRPr="00105DFD" w:rsidRDefault="00432C0B" w:rsidP="00432C0B">
      <w:r w:rsidRPr="00105DFD">
        <w:t xml:space="preserve">This study underscores several key challenges in applying machine learning to psychiatric prediction tasks, particularly when working with imbalanced class distributions, checklist-based outcome measures, and </w:t>
      </w:r>
      <w:r w:rsidRPr="003A4228">
        <w:rPr>
          <w:color w:val="92D050"/>
        </w:rPr>
        <w:t>limited contextual representation</w:t>
      </w:r>
      <w:r w:rsidRPr="00105DFD">
        <w:t xml:space="preserve">. Despite the use of established techniques such as class weighting, threshold calibration, and hyperparameter tuning, model sensitivity for clinically significant cases remained poor. These findings suggest that widely used approaches may be inadequate when clinical outcomes are both rare and heterogeneous. </w:t>
      </w:r>
    </w:p>
    <w:p w14:paraId="69DF1B6C" w14:textId="77777777" w:rsidR="00432C0B" w:rsidRDefault="00432C0B" w:rsidP="00432C0B"/>
    <w:p w14:paraId="2F2BEA0F" w14:textId="77777777" w:rsidR="00432C0B" w:rsidRPr="00961871" w:rsidRDefault="00432C0B" w:rsidP="00432C0B">
      <w:pPr>
        <w:pStyle w:val="Style2"/>
      </w:pPr>
      <w:bookmarkStart w:id="6" w:name="_Toc197122758"/>
      <w:r>
        <w:t>Future Directions</w:t>
      </w:r>
      <w:bookmarkEnd w:id="6"/>
    </w:p>
    <w:p w14:paraId="42BF0389" w14:textId="77777777" w:rsidR="00432C0B" w:rsidRDefault="00432C0B" w:rsidP="00432C0B">
      <w:r w:rsidRPr="00105DFD">
        <w:t xml:space="preserve">Building on the limitations identified in this study, several avenues should be explored to improve the effectiveness of machine learning models in predicting internalizing symptoms in </w:t>
      </w:r>
      <w:r w:rsidRPr="00105DFD">
        <w:lastRenderedPageBreak/>
        <w:t>youth. These directions pertain to both the methodological refinement of modeling approaches and the enhancement of the underlying data used to train and evaluate such models.</w:t>
      </w:r>
    </w:p>
    <w:p w14:paraId="34F7808D" w14:textId="77777777" w:rsidR="00432C0B" w:rsidRPr="00105DFD" w:rsidRDefault="00432C0B" w:rsidP="00432C0B">
      <w:pPr>
        <w:ind w:firstLine="720"/>
        <w:rPr>
          <w:color w:val="92D050"/>
        </w:rPr>
      </w:pPr>
      <w:r w:rsidRPr="00105DFD">
        <w:t>First, addressing the issue of class imbalance remains a critical priority. In many psychiatric datasets, clinically significant cases are underrepresented</w:t>
      </w:r>
      <w:r>
        <w:t>. F</w:t>
      </w:r>
      <w:r w:rsidRPr="00105DFD">
        <w:t xml:space="preserve">uture research would benefit from incorporating </w:t>
      </w:r>
      <w:r>
        <w:t xml:space="preserve">sampling </w:t>
      </w:r>
      <w:r w:rsidRPr="00105DFD">
        <w:t>techniques such as</w:t>
      </w:r>
      <w:r w:rsidRPr="00105DFD">
        <w:rPr>
          <w:rFonts w:eastAsiaTheme="majorEastAsia"/>
        </w:rPr>
        <w:t> synthetic oversampling </w:t>
      </w:r>
      <w:r w:rsidRPr="00105DFD">
        <w:t>(e.g., SMOTE</w:t>
      </w:r>
      <w:r>
        <w:t xml:space="preserve">) </w:t>
      </w:r>
      <w:r w:rsidRPr="00105DFD">
        <w:t>and</w:t>
      </w:r>
      <w:r w:rsidRPr="00105DFD">
        <w:rPr>
          <w:rFonts w:eastAsiaTheme="majorEastAsia"/>
        </w:rPr>
        <w:t> semi-supervised algorithms </w:t>
      </w:r>
      <w:r>
        <w:fldChar w:fldCharType="begin"/>
      </w:r>
      <w:r>
        <w:instrText xml:space="preserve"> ADDIN ZOTERO_ITEM CSL_CITATION {"citationID":"XxxZ9oUO","properties":{"formattedCitation":"(Chawla et al., 2002; Zhu &amp; Goldberg, 2009)","plainCitation":"(Chawla et al., 2002; Zhu &amp; Goldberg, 2009)","noteIndex":0},"citationItems":[{"id":4567,"uris":["http://zotero.org/users/13126831/items/GTG93RAL"],"itemData":{"id":4567,"type":"article-journal","abstract":"An approach to the construction of classifiers from imbalanced datasets is described. A dataset is imbalanced if the classification categories are not approximately equally represented. Often real-world data sets are predominately composed of ``normal'' examples with only a small percentage of ``abnormal'' or ``interesting'' examples. It is also the case that the cost of misclassifying an abnormal (interesting) example as a normal example is often much higher than the cost of the reverse error. Under-sampling of the majority (normal) class has been proposed as a good means of increasing the sensitivity of a classifier to the minority class. This paper shows that a combination of our method of over-sampling the minority (abnormal) class and under-sampling the majority (normal) class can achieve better classifier performance (in ROC space) than only under-sampling the majority class. This paper also shows that a combination of our method of over-sampling the minority class and under-sampling the majority class can achieve better classifier performance (in ROC space) than varying the loss ratios in Ripper or class priors in Naive Bayes. Our method of over-sampling the minority class involves creating synthetic minority class examples. Experiments are performed using C4.5, Ripper and a Naive Bayes classifier. The method is evaluated using the area under the Receiver Operating Characteristic curve (AUC) and the ROC convex hull strategy.","container-title":"The Journal of artificial intelligence research","DOI":"10.1613/jair.953","ISSN":"1076-9757","note":"publisher-place: San Francisco\npublisher: San Francisco: AI Access Foundation","page":"321-357","title":"SMOTE: Synthetic Minority Over-sampling Technique","volume":"16","author":[{"family":"Chawla","given":"N. V."},{"family":"Bowyer","given":"K. W."},{"family":"Hall","given":"L. O."},{"family":"Kegelmeyer","given":"W. P."}],"issued":{"date-parts":[["2002"]]}},"label":"page"},{"id":4571,"uris":["http://zotero.org/users/13126831/items/K8DHKG76"],"itemData":{"id":4571,"type":"paper-conference","DOI":"10.2200/S00196ED1V01Y200906AIM006","ISBN":"1939-4608","note":"issue: 1","page":"1-130","title":"Introduction to Semi-Supervised Learning","volume":"3","author":[{"family":"Zhu","given":"Xiaojin"},{"family":"Goldberg","given":"Andrew B."}],"issued":{"date-parts":[["2009"]]}},"label":"page"}],"schema":"https://github.com/citation-style-language/schema/raw/master/csl-citation.json"} </w:instrText>
      </w:r>
      <w:r>
        <w:fldChar w:fldCharType="separate"/>
      </w:r>
      <w:r>
        <w:rPr>
          <w:noProof/>
        </w:rPr>
        <w:t>(Chawla et al., 2002; Zhu &amp; Goldberg, 2009)</w:t>
      </w:r>
      <w:r>
        <w:fldChar w:fldCharType="end"/>
      </w:r>
      <w:r w:rsidRPr="00105DFD">
        <w:t>. These methods can help ensure that minority classes</w:t>
      </w:r>
      <w:r>
        <w:t xml:space="preserve"> </w:t>
      </w:r>
      <w:r w:rsidRPr="00105DFD">
        <w:t xml:space="preserve">are adequately represented during training and can contribute to more equitable and clinically meaningful classification performance. Additionally, increasing the number of clinically affected cases through targeted recruitment or strategic data augmentation may be necessary to meet the data demands of high-dimensional machine learning models </w:t>
      </w:r>
      <w:r>
        <w:fldChar w:fldCharType="begin"/>
      </w:r>
      <w:r>
        <w:instrText xml:space="preserve"> ADDIN ZOTERO_ITEM CSL_CITATION {"citationID":"TxFyL2nd","properties":{"formattedCitation":"(He &amp; Garcia, 2009)","plainCitation":"(He &amp; Garcia, 2009)","noteIndex":0},"citationItems":[{"id":4458,"uris":["http://zotero.org/users/13126831/items/9PDAPIKY"],"itemData":{"id":4458,"type":"article-journal","abstract":"With the continuous expansion of data availability in many large-scale, complex, and networked systems, such as surveillance, security, Internet, and finance, it becomes critical to advance the fundamental understanding of knowledge discovery and analysis from raw data to support decision-making processes. Although existing knowledge discovery and data engineering techniques have shown great success in many real-world applications, the problem of learning from imbalanced data (the imbalanced learning problem) is a relatively new challenge that has attracted growing attention from both academia and industry. The imbalanced learning problem is concerned with the performance of learning algorithms in the presence of underrepresented data and severe class distribution skews. Due to the inherent complex characteristics of imbalanced data sets, learning from such data requires new understandings, principles, algorithms, and tools to transform vast amounts of raw data efficiently into information and knowledge representation. In this paper, we provide a comprehensive review of the development of research in learning from imbalanced data. Our focus is to provide a critical review of the nature of the problem, the state-of-the-art technologies, and the current assessment metrics used to evaluate learning performance under the imbalanced learning scenario. Furthermore, in order to stimulate future research in this field, we also highlight the major opportunities and challenges, as well as potential important research directions for learning from imbalanced data.","container-title":"IEEE Transactions on Knowledge and Data Engineering","DOI":"10.1109/TKDE.2008.239","ISSN":"1558-2191","issue":"9","page":"1263-1284","source":"IEEE Xplore","title":"Learning from Imbalanced Data","volume":"21","author":[{"family":"He","given":"Haibo"},{"family":"Garcia","given":"Edwardo A."}],"issued":{"date-parts":[["2009",9]]}}}],"schema":"https://github.com/citation-style-language/schema/raw/master/csl-citation.json"} </w:instrText>
      </w:r>
      <w:r>
        <w:fldChar w:fldCharType="separate"/>
      </w:r>
      <w:r>
        <w:rPr>
          <w:noProof/>
        </w:rPr>
        <w:t>(He &amp; Garcia, 2009)</w:t>
      </w:r>
      <w:r>
        <w:fldChar w:fldCharType="end"/>
      </w:r>
      <w:r>
        <w:t xml:space="preserve">. </w:t>
      </w:r>
      <w:r w:rsidRPr="00105DFD">
        <w:t xml:space="preserve">Additionally, future work should explore alternative modeling frameworks that better accommodate the challenges of psychiatric prediction. </w:t>
      </w:r>
      <w:r w:rsidRPr="00105DFD">
        <w:rPr>
          <w:color w:val="92D050"/>
        </w:rPr>
        <w:t>While ensemble-based methods like XGBoost offer strong baseline performance,</w:t>
      </w:r>
      <w:r w:rsidRPr="00105DFD">
        <w:rPr>
          <w:rFonts w:eastAsiaTheme="majorEastAsia"/>
          <w:color w:val="92D050"/>
        </w:rPr>
        <w:t> deep learning approaches </w:t>
      </w:r>
      <w:r w:rsidRPr="00105DFD">
        <w:rPr>
          <w:color w:val="92D050"/>
        </w:rPr>
        <w:t>or</w:t>
      </w:r>
      <w:r w:rsidRPr="00105DFD">
        <w:rPr>
          <w:rFonts w:eastAsiaTheme="majorEastAsia"/>
          <w:color w:val="92D050"/>
        </w:rPr>
        <w:t> hybrid models </w:t>
      </w:r>
      <w:r w:rsidRPr="00105DFD">
        <w:rPr>
          <w:color w:val="92D050"/>
        </w:rPr>
        <w:t>that combine interpretability and flexibility may provide added value, particularly when working with complex, high-dimensional datasets</w:t>
      </w:r>
      <w:r w:rsidRPr="00C831DB">
        <w:rPr>
          <w:color w:val="92D050"/>
        </w:rPr>
        <w:t xml:space="preserve"> </w:t>
      </w:r>
      <w:r w:rsidRPr="00C831DB">
        <w:rPr>
          <w:color w:val="92D050"/>
        </w:rPr>
        <w:fldChar w:fldCharType="begin"/>
      </w:r>
      <w:r w:rsidRPr="00C831DB">
        <w:rPr>
          <w:color w:val="92D050"/>
        </w:rPr>
        <w:instrText xml:space="preserve"> ADDIN ZOTERO_ITEM CSL_CITATION {"citationID":"b9FerR3f","properties":{"formattedCitation":"(Shwartz-Ziv &amp; Armon, 2022)","plainCitation":"(Shwartz-Ziv &amp; Armon, 2022)","noteIndex":0},"citationItems":[{"id":4575,"uris":["http://zotero.org/users/13126831/items/25MZQN9Z"],"itemData":{"id":4575,"type":"article-journal","abstract":"A key element in solving real-life data science problems is selecting the types of models to use. Tree ensemble models (such as XGBoost) are usually recommended for classification and regression problems with tabular data. However, several deep learning models for tabular data have recently been proposed, claiming to outperform XGBoost for some use cases. This paper explores whether these deep models should be a recommended option for tabular data by rigorously comparing the new deep models to XGBoost on various datasets. In addition to systematically comparing their performance, we consider the tuning and computation they require. Our study shows that XGBoost outperforms these deep models across the datasets, including the datasets used in the papers that proposed the deep models. We also demonstrate that XGBoost requires much less tuning. On the positive side, we show that an ensemble of deep models and XGBoost performs better on these datasets than XGBoost alone.\n•Deep neural networks are not good for all type of tabular data.•XGboost outperforms deep models on tabular data.•It harder to optimize deep neural networks compared to XGBoost.","container-title":"Information fusion","DOI":"10.1016/j.inffus.2021.11.011","ISSN":"1566-2535","note":"publisher: Elsevier B.V","page":"84-90","title":"Tabular data: Deep learning is not all you need","volume":"81","author":[{"family":"Shwartz-Ziv","given":"Ravid"},{"family":"Armon","given":"Amitai"}],"issued":{"date-parts":[["2022"]]}}}],"schema":"https://github.com/citation-style-language/schema/raw/master/csl-citation.json"} </w:instrText>
      </w:r>
      <w:r w:rsidRPr="00C831DB">
        <w:rPr>
          <w:color w:val="92D050"/>
        </w:rPr>
        <w:fldChar w:fldCharType="separate"/>
      </w:r>
      <w:r w:rsidRPr="00C831DB">
        <w:rPr>
          <w:noProof/>
          <w:color w:val="92D050"/>
        </w:rPr>
        <w:t>(Shwartz-Ziv &amp; Armon, 2022)</w:t>
      </w:r>
      <w:r w:rsidRPr="00C831DB">
        <w:rPr>
          <w:color w:val="92D050"/>
        </w:rPr>
        <w:fldChar w:fldCharType="end"/>
      </w:r>
      <w:r w:rsidRPr="00C831DB">
        <w:rPr>
          <w:color w:val="92D050"/>
        </w:rPr>
        <w:t>.</w:t>
      </w:r>
    </w:p>
    <w:p w14:paraId="160B7CA3" w14:textId="77777777" w:rsidR="00432C0B" w:rsidRPr="00105DFD" w:rsidRDefault="00432C0B" w:rsidP="00432C0B">
      <w:pPr>
        <w:ind w:firstLine="720"/>
      </w:pPr>
      <w:r w:rsidRPr="00105DFD">
        <w:t>Second, improvements to the outcome variable are necessitated. Future studies should consider using</w:t>
      </w:r>
      <w:r w:rsidRPr="00105DFD">
        <w:rPr>
          <w:rFonts w:eastAsiaTheme="majorEastAsia"/>
        </w:rPr>
        <w:t> longitudinal data </w:t>
      </w:r>
      <w:r w:rsidRPr="00105DFD">
        <w:t xml:space="preserve">to differentiate between transient symptom fluctuations and stable clinical trajectories </w:t>
      </w:r>
      <w:r>
        <w:fldChar w:fldCharType="begin"/>
      </w:r>
      <w:r>
        <w:instrText xml:space="preserve"> ADDIN ZOTERO_ITEM CSL_CITATION {"citationID":"2G2Ey5NU","properties":{"formattedCitation":"(Dwyer et al., 2018)","plainCitation":"(Dwyer et al., 2018)","noteIndex":0},"citationItems":[{"id":4572,"uris":["http://zotero.org/users/13126831/items/TYEKPPMT"],"itemData":{"id":4572,"type":"article-journal","abstract":"Machine learning approaches for clinical psychology and psychiatry explicitly focus on learning statistical functions from multidimensional data sets to make generalizable predictions about individuals. The goal of this review is to provide an accessible understanding of why this approach is important for future practice given its potential to augment decisions associated with the diagnosis, prognosis, and treatment of people suffering from mental illness using clinical and biological data. To this end, the limitations of current statistical paradigms in mental health research are critiqued, and an introduction is provided to critical machine learning methods used in clinical studies. A selective literature review is then presented aiming to reinforce the usefulness of machine learning methods and provide evidence of their potential. In the context of promising initial results, the current limitations of machine learning approaches are addressed, and considerations for future clinical translation are outlined.","container-title":"Annu Rev Clin Psychol","DOI":"10.1146/annurev-clinpsy-032816-045037","ISSN":"1548-5943","issue":"1","note":"publisher-place: United States\npublisher: United States: Annual Reviews","page":"91-118","title":"Machine Learning Approaches for Clinical Psychology and Psychiatry","volume":"14","author":[{"family":"Dwyer","given":"Dominic B"},{"family":"Falkai","given":"Peter"},{"family":"Koutsouleris","given":"Nikolaos"}],"issued":{"date-parts":[["2018"]]}}}],"schema":"https://github.com/citation-style-language/schema/raw/master/csl-citation.json"} </w:instrText>
      </w:r>
      <w:r>
        <w:fldChar w:fldCharType="separate"/>
      </w:r>
      <w:r>
        <w:rPr>
          <w:noProof/>
        </w:rPr>
        <w:t>(Dwyer et al., 2018)</w:t>
      </w:r>
      <w:r>
        <w:fldChar w:fldCharType="end"/>
      </w:r>
      <w:r>
        <w:t xml:space="preserve">. </w:t>
      </w:r>
      <w:r w:rsidRPr="00105DFD">
        <w:t>Modeling symptom change over time may offer a more informative target than single-timepoint scores. Furthermore, the</w:t>
      </w:r>
      <w:r w:rsidRPr="00105DFD">
        <w:rPr>
          <w:rFonts w:eastAsiaTheme="majorEastAsia"/>
        </w:rPr>
        <w:t> integration of multiple informants</w:t>
      </w:r>
      <w:r>
        <w:t xml:space="preserve">, </w:t>
      </w:r>
      <w:r w:rsidRPr="00105DFD">
        <w:t>rather than analyzing youth- and parent-reported symptoms in isolation</w:t>
      </w:r>
      <w:r>
        <w:t xml:space="preserve">, </w:t>
      </w:r>
      <w:r w:rsidRPr="00105DFD">
        <w:t>could help capture a more comprehensive view of symptomatology and reduce the noise introduced by informant discrepancies</w:t>
      </w:r>
      <w:r>
        <w:t xml:space="preserve"> </w:t>
      </w:r>
      <w:r>
        <w:fldChar w:fldCharType="begin"/>
      </w:r>
      <w:r>
        <w:instrText xml:space="preserve"> ADDIN ZOTERO_ITEM CSL_CITATION {"citationID":"wvjL1Tkp","properties":{"formattedCitation":"(De Los Reyes &amp; Makol, 2022)","plainCitation":"(De Los Reyes &amp; Makol, 2022)","noteIndex":0},"citationItems":[{"id":4275,"uris":["http://zotero.org/users/13126831/items/CHZKQCNH"],"itemData":{"id":4275,"type":"chapter","abstract":"Clients display considerable variations in functioning across the contexts that encompass their social environments (e.g., home, school/workplace, peer interactions). No single measurement method can fully capture these variations. Yet, assessors must balance the need to accurately capture clients’ clinical presentations, and at the same time attend to clinical feasibility when considering which measures to use. We describe one method―informants’ subjective reports about clients’ mental health―and highlight research and theory that connects scores on informants’ reports with scores on non-subjective methods (e.g., observed behavior, performance-based tasks, official records). We also discuss issues in use and interpretation of informants’ reports, provide recommendations for clinical assessments, and outline important directions for future research and practice.","container-title":"Comprehensive Clinical Psychology","ISBN":"978-0-12-822232-4","language":"en","license":"https://www.elsevier.com/tdm/userlicense/1.0/","note":"DOI: 10.1016/B978-0-12-818697-8.00113-8","page":"105-122","publisher":"Elsevier","source":"DOI.org (Crossref)","title":"Informant Reports in Clinical Assessment","URL":"https://linkinghub.elsevier.com/retrieve/pii/B9780128186978001138","author":[{"family":"De Los Reyes","given":"Andres"},{"family":"Makol","given":"Bridget A."}],"accessed":{"date-parts":[["2025",3,31]]},"issued":{"date-parts":[["2022"]]}}}],"schema":"https://github.com/citation-style-language/schema/raw/master/csl-citation.json"} </w:instrText>
      </w:r>
      <w:r>
        <w:fldChar w:fldCharType="separate"/>
      </w:r>
      <w:r>
        <w:rPr>
          <w:noProof/>
        </w:rPr>
        <w:t>(De Los Reyes &amp; Makol, 2022)</w:t>
      </w:r>
      <w:r>
        <w:fldChar w:fldCharType="end"/>
      </w:r>
      <w:r>
        <w:t xml:space="preserve">. </w:t>
      </w:r>
      <w:r w:rsidRPr="00105DFD">
        <w:t>Where feasible, incorporating</w:t>
      </w:r>
      <w:r w:rsidRPr="00105DFD">
        <w:rPr>
          <w:rFonts w:eastAsiaTheme="majorEastAsia"/>
        </w:rPr>
        <w:t> clinician-rated measures </w:t>
      </w:r>
      <w:r w:rsidRPr="00105DFD">
        <w:t>or structured diagnostic interviews as ground truth outcomes would further enhance model validity</w:t>
      </w:r>
      <w:r>
        <w:t xml:space="preserve"> </w:t>
      </w:r>
      <w:r w:rsidRPr="00C831DB">
        <w:rPr>
          <w:color w:val="92D050"/>
        </w:rPr>
        <w:fldChar w:fldCharType="begin"/>
      </w:r>
      <w:r w:rsidRPr="00C831DB">
        <w:rPr>
          <w:color w:val="92D050"/>
        </w:rPr>
        <w:instrText xml:space="preserve"> ADDIN ZOTERO_ITEM CSL_CITATION {"citationID":"1hbsSYCl","properties":{"formattedCitation":"(Achenbach et al., 1987)","plainCitation":"(Achenbach et al., 1987)","noteIndex":0},"citationItems":[{"id":3425,"uris":["http://zotero.org/users/13126831/items/SBWF83ET"],"itemData":{"id":3425,"type":"article-journal","abstract":"Our purpose in this article was to determine the degree of consistency between different informants' reports of the behavioral/emotional problems of subjects aged from 1½ to 19 years. We found 269 samples in 119 studies for meta-analyses of Pearson\nr\ns between ratings by parents, teachers, mental health workers, observers, peers, and the subjects themselves. The mean\nr\ns between all types of informants were statistically significant. The mean\nr\ns were .60 between similar informants (e.g., pairs of parents), .28 between different types of informants (e.g., parent/teacher), and .22 between subjects and other informants. Correlations were significantly higher for 6- to 11-year-olds than for adolescents, and for undercontrolled versus overcontrolled problems, although these differences were not large. The modest correlations between informants indicate that child and adolescent problems are not effectively captured by present-versus-absent judgments of problems. Instead, the variations between reports by different informants argue for assessment in terms of multiple axes designed to reflect the perceived variations in child and adolescent functioning.","container-title":"Psychol Bull","DOI":"10.1037/0033-2909.101.2.213","ISSN":"0033-2909","issue":"2","note":"publisher-place: Washington, DC\npublisher: Washington, DC: American Psychological Association","page":"213-232","title":"Child/Adolescent Behavioral and Emotional Problems: Implications of Cross-Informant Correlations for Situational Specificity","volume":"101","author":[{"family":"Achenbach","given":"Thomas M"},{"family":"McConaughy","given":"Stephanie H"},{"family":"Howell","given":"Catherine T"}],"issued":{"date-parts":[["1987"]]}}}],"schema":"https://github.com/citation-style-language/schema/raw/master/csl-citation.json"} </w:instrText>
      </w:r>
      <w:r w:rsidRPr="00C831DB">
        <w:rPr>
          <w:color w:val="92D050"/>
        </w:rPr>
        <w:fldChar w:fldCharType="separate"/>
      </w:r>
      <w:r w:rsidRPr="00C831DB">
        <w:rPr>
          <w:noProof/>
          <w:color w:val="92D050"/>
        </w:rPr>
        <w:t>(Achenbach et al., 1987)</w:t>
      </w:r>
      <w:r w:rsidRPr="00C831DB">
        <w:rPr>
          <w:color w:val="92D050"/>
        </w:rPr>
        <w:fldChar w:fldCharType="end"/>
      </w:r>
      <w:r w:rsidRPr="00C831DB">
        <w:rPr>
          <w:color w:val="92D050"/>
        </w:rPr>
        <w:t>.</w:t>
      </w:r>
    </w:p>
    <w:p w14:paraId="51B943C5" w14:textId="77777777" w:rsidR="00432C0B" w:rsidRPr="00105DFD" w:rsidRDefault="00432C0B" w:rsidP="00432C0B">
      <w:pPr>
        <w:ind w:firstLine="720"/>
      </w:pPr>
      <w:r w:rsidRPr="00105DFD">
        <w:t xml:space="preserve">Third, expanding the range and quality of input features may significantly improve model performance. </w:t>
      </w:r>
      <w:r>
        <w:t>F</w:t>
      </w:r>
      <w:r w:rsidRPr="00105DFD">
        <w:t>uture models should consider</w:t>
      </w:r>
      <w:r w:rsidRPr="00105DFD">
        <w:rPr>
          <w:rFonts w:eastAsiaTheme="majorEastAsia"/>
        </w:rPr>
        <w:t> multimodal data sources</w:t>
      </w:r>
      <w:r w:rsidRPr="00105DFD">
        <w:t>, including neurocognitive assessments, behavioral observations,</w:t>
      </w:r>
      <w:r w:rsidRPr="00105DFD">
        <w:rPr>
          <w:rFonts w:eastAsiaTheme="majorEastAsia"/>
        </w:rPr>
        <w:t> ecological momentary assessment (EMA)</w:t>
      </w:r>
      <w:r w:rsidRPr="00105DFD">
        <w:t xml:space="preserve">, wearable sensor data, and digital phenotyping. These richer data types may capture underlying constructs that are not adequately reflected in standardized rating scales and offer more precise signals for detecting internalizing psychopathology </w:t>
      </w:r>
      <w:r>
        <w:fldChar w:fldCharType="begin"/>
      </w:r>
      <w:r>
        <w:instrText xml:space="preserve"> ADDIN ZOTERO_ITEM CSL_CITATION {"citationID":"DQvDErbl","properties":{"formattedCitation":"(Bzdok &amp; Meyer-Lindenberg, 2018)","plainCitation":"(Bzdok &amp; Meyer-Lindenberg, 2018)","noteIndex":0},"citationItems":[{"id":4573,"uris":["http://zotero.org/users/13126831/items/WVTAIDWC"],"itemData":{"id":4573,"type":"article-journal","abstract":"The nature of mental illness remains a conundrum. Traditional disease categories are increasingly suspected to misrepresent the causes underlying mental disturbance. Yet psychiatrists and investigators now have an unprecedented opportunity to benefit from complex patterns in brain, behavior, and genes using methods from machine learning (e.g., support vector machines, modern neural-network algorithms, cross-validation procedures). Combining these analysis techniques with a wealth of data from consortia and repositories has the potential to advance a biologically grounded redefinition of major psychiatric disorders. Increasing evidence suggests that data-derived subgroups of psychiatric patients can better predict treatment outcomes than DSM/ICD diagnoses can. In a new era of evidence-based psychiatry tailored to single patients, objectively measurable endophenotypes could allow for early disease detection, individualized treatment selection, and dosage adjustment to reduce the burden of disease. This primer aims to introduce clinicians and researchers to the opportunities and challenges in bringing machine intelligence into psychiatric practice.","container-title":"Biol Psychiatry Cogn Neurosci Neuroimaging","DOI":"10.1016/j.bpsc.2017.11.007","ISSN":"2451-9022","issue":"3","note":"publisher-place: United States\npublisher: United States: Elsevier Inc","page":"223-230","title":"Machine Learning for Precision Psychiatry: Opportunities and Challenges","volume":"3","author":[{"family":"Bzdok","given":"Danilo"},{"family":"Meyer-Lindenberg","given":"Andreas"}],"issued":{"date-parts":[["2018"]]}}}],"schema":"https://github.com/citation-style-language/schema/raw/master/csl-citation.json"} </w:instrText>
      </w:r>
      <w:r>
        <w:fldChar w:fldCharType="separate"/>
      </w:r>
      <w:r>
        <w:rPr>
          <w:noProof/>
        </w:rPr>
        <w:t>(Bzdok &amp; Meyer-Lindenberg, 2018)</w:t>
      </w:r>
      <w:r>
        <w:fldChar w:fldCharType="end"/>
      </w:r>
      <w:r>
        <w:t xml:space="preserve">. </w:t>
      </w:r>
      <w:r w:rsidRPr="00105DFD">
        <w:t xml:space="preserve">The integration of </w:t>
      </w:r>
      <w:r w:rsidRPr="00105DFD">
        <w:lastRenderedPageBreak/>
        <w:t>such data would also align with emerging trends in</w:t>
      </w:r>
      <w:r w:rsidRPr="00105DFD">
        <w:rPr>
          <w:rFonts w:eastAsiaTheme="majorEastAsia"/>
        </w:rPr>
        <w:t> digital mental health</w:t>
      </w:r>
      <w:r w:rsidRPr="00105DFD">
        <w:t>, where continuous and passive monitoring can provide real-time insights into symptom dynamics</w:t>
      </w:r>
      <w:r>
        <w:t xml:space="preserve"> </w:t>
      </w:r>
      <w:r>
        <w:fldChar w:fldCharType="begin"/>
      </w:r>
      <w:r>
        <w:instrText xml:space="preserve"> ADDIN ZOTERO_ITEM CSL_CITATION {"citationID":"xVk6zLQd","properties":{"formattedCitation":"(Insel, 2017)","plainCitation":"(Insel, 2017)","noteIndex":0},"citationItems":[{"id":4574,"uris":["http://zotero.org/users/13126831/items/A724V3A9"],"itemData":{"id":4574,"type":"article-journal","abstract":"Digital phenotyping is the term now used for describing new approach to measuring behavior from smartphone sensors, keyboard interaction, and various features of voice and speech. Already digital phenotyping is revealing new aspects of behavior that appear clinically relevant. Here, Insel examines whether smartphone measures collected continuously in a patient's ecosystem will prove better at predicting clinical outcomes than episodic rating scales collected in a clinical setting.","container-title":"JAMA","DOI":"10.1001/jama.2017.11295","ISSN":"0098-7484","issue":"13","note":"publisher-place: United States\npublisher: United States: American Medical Association","page":"1215-1216","title":"Digital Phenotyping: Technology for a New Science of Behavior","volume":"318","author":[{"family":"Insel","given":"Thomas R"}],"issued":{"date-parts":[["2017"]]}}}],"schema":"https://github.com/citation-style-language/schema/raw/master/csl-citation.json"} </w:instrText>
      </w:r>
      <w:r>
        <w:fldChar w:fldCharType="separate"/>
      </w:r>
      <w:r>
        <w:rPr>
          <w:noProof/>
        </w:rPr>
        <w:t>(Insel, 2017)</w:t>
      </w:r>
      <w:r>
        <w:fldChar w:fldCharType="end"/>
      </w:r>
      <w:r>
        <w:t>.</w:t>
      </w:r>
    </w:p>
    <w:p w14:paraId="4B69AC24" w14:textId="77777777" w:rsidR="00432C0B" w:rsidRDefault="00432C0B" w:rsidP="00432C0B">
      <w:pPr>
        <w:ind w:firstLine="720"/>
      </w:pPr>
      <w:r w:rsidRPr="00105DFD">
        <w:t>Importantly,</w:t>
      </w:r>
      <w:r w:rsidRPr="00105DFD">
        <w:rPr>
          <w:rFonts w:eastAsiaTheme="majorEastAsia"/>
        </w:rPr>
        <w:t> model interpretability </w:t>
      </w:r>
      <w:r w:rsidRPr="00105DFD">
        <w:t>must remain a central consideration; clinical decision-making depends not only on accuracy but also on transparency and trust in the model’s predictions</w:t>
      </w:r>
      <w:r>
        <w:t xml:space="preserve"> </w:t>
      </w:r>
      <w:r>
        <w:fldChar w:fldCharType="begin"/>
      </w:r>
      <w:r>
        <w:instrText xml:space="preserve"> ADDIN ZOTERO_ITEM CSL_CITATION {"citationID":"aanNTyi6","properties":{"formattedCitation":"(Lipton, 2018)","plainCitation":"(Lipton, 2018)","noteIndex":0},"citationItems":[{"id":4576,"uris":["http://zotero.org/users/13126831/items/N4B55PN6"],"itemData":{"id":4576,"type":"article-journal","abstract":"Supervised machine-learning models boast remarkable predictive capabilities. But can you trust your model? Will it work in deployment? What else can it tell you about the world?","container-title":"ACM queue","DOI":"10.1145/3236386.3241340","ISSN":"1542-7730","issue":"3","page":"31-57","title":"The Mythos of Model Interpretability: In machine learning, the concept of interpretability is both important and slippery","volume":"16","author":[{"family":"Lipton","given":"Zachary C."}],"issued":{"date-parts":[["2018"]]}}}],"schema":"https://github.com/citation-style-language/schema/raw/master/csl-citation.json"} </w:instrText>
      </w:r>
      <w:r>
        <w:fldChar w:fldCharType="separate"/>
      </w:r>
      <w:r>
        <w:rPr>
          <w:noProof/>
        </w:rPr>
        <w:t>(Lipton, 2018)</w:t>
      </w:r>
      <w:r>
        <w:fldChar w:fldCharType="end"/>
      </w:r>
      <w:r>
        <w:t xml:space="preserve">. </w:t>
      </w:r>
      <w:r w:rsidRPr="00105DFD">
        <w:t>Finally, future research must prioritize</w:t>
      </w:r>
      <w:r w:rsidRPr="00105DFD">
        <w:rPr>
          <w:rFonts w:eastAsiaTheme="majorEastAsia"/>
        </w:rPr>
        <w:t> real-world validation </w:t>
      </w:r>
      <w:r w:rsidRPr="00105DFD">
        <w:t>and</w:t>
      </w:r>
      <w:r w:rsidRPr="00105DFD">
        <w:rPr>
          <w:rFonts w:eastAsiaTheme="majorEastAsia"/>
        </w:rPr>
        <w:t> reproducibility</w:t>
      </w:r>
      <w:r w:rsidRPr="00105DFD">
        <w:t>. Many studies, including the present one, rely on curated or preprocessed datasets that may not fully reflect the variability encountered in applied clinical environments. Validation in</w:t>
      </w:r>
      <w:r w:rsidRPr="00105DFD">
        <w:rPr>
          <w:rFonts w:eastAsiaTheme="majorEastAsia"/>
        </w:rPr>
        <w:t> external, heterogeneous samples</w:t>
      </w:r>
      <w:r>
        <w:t xml:space="preserve">, </w:t>
      </w:r>
      <w:r w:rsidRPr="00105DFD">
        <w:t>particularly from clinical or hospital-based populations</w:t>
      </w:r>
      <w:r>
        <w:t xml:space="preserve">, </w:t>
      </w:r>
      <w:r w:rsidRPr="00105DFD">
        <w:t>is essential for assessing generalizability and translational value</w:t>
      </w:r>
      <w:r>
        <w:t xml:space="preserve"> </w:t>
      </w:r>
      <w:r w:rsidRPr="006E6A88">
        <w:rPr>
          <w:color w:val="92D050"/>
        </w:rPr>
        <w:fldChar w:fldCharType="begin"/>
      </w:r>
      <w:r w:rsidRPr="006E6A88">
        <w:rPr>
          <w:color w:val="92D050"/>
        </w:rPr>
        <w:instrText xml:space="preserve"> ADDIN ZOTERO_ITEM CSL_CITATION {"citationID":"gAmpGZFw","properties":{"formattedCitation":"(Van Calster, McLernon, van Smeden, Wynants, &amp; Steyerberg, 2019)","plainCitation":"(Van Calster, McLernon, van Smeden, Wynants, &amp; Steyerberg, 2019)","noteIndex":0},"citationItems":[{"id":4578,"uris":["http://zotero.org/users/13126831/items/4SAYIGG5"],"itemData":{"id":4578,"type":"article-journal","abstract":"The assessment of calibration performance of risk prediction models based on regression or more flexible machine learning algorithms receives little attention.\nHerein, we argue that this needs to change immediately because poorly calibrated algorithms can be misleading and potentially harmful for clinical decision-making. We summarize how to avoid poor calibration at algorithm development and how to assess calibration at algorithm validation, emphasizing balance between model complexity and the available sample size. At external validation, calibration curves require sufficiently large samples. Algorithm updating should be considered for appropriate support of clinical practice.\nEfforts are required to avoid poor calibration when developing prediction models, to evaluate calibration when validating models, and to update models when indicated. The ultimate aim is to optimize the utility of predictive analytics for shared decision-making and patient counseling.","container-title":"BMC Med","DOI":"10.1186/s12916-019-1466-7","ISSN":"1741-7015","issue":"1","note":"publisher-place: England\npublisher: England: BioMed Central Ltd","page":"230-230","title":"Calibration: the Achilles heel of predictive analytics","volume":"17","author":[{"family":"Van Calster","given":"Ben"},{"family":"McLernon","given":"David J."},{"family":"Smeden","given":"Maarten","non-dropping-particle":"van"},{"family":"Wynants","given":"Laure"},{"family":"Steyerberg","given":"Ewout W."}],"issued":{"date-parts":[["2019"]]}}}],"schema":"https://github.com/citation-style-language/schema/raw/master/csl-citation.json"} </w:instrText>
      </w:r>
      <w:r w:rsidRPr="006E6A88">
        <w:rPr>
          <w:color w:val="92D050"/>
        </w:rPr>
        <w:fldChar w:fldCharType="separate"/>
      </w:r>
      <w:r w:rsidRPr="006E6A88">
        <w:rPr>
          <w:noProof/>
          <w:color w:val="92D050"/>
        </w:rPr>
        <w:t>(Van Calster, McLernon, van Smeden, Wynants, &amp; Steyerberg, 2019)</w:t>
      </w:r>
      <w:r w:rsidRPr="006E6A88">
        <w:rPr>
          <w:color w:val="92D050"/>
        </w:rPr>
        <w:fldChar w:fldCharType="end"/>
      </w:r>
      <w:r w:rsidRPr="006E6A88">
        <w:rPr>
          <w:color w:val="92D050"/>
        </w:rPr>
        <w:t xml:space="preserve">. </w:t>
      </w:r>
      <w:r w:rsidRPr="00105DFD">
        <w:t>Transparent reporting of model parameters, performance metrics, and code, along with data sharing where possible, is equally important to</w:t>
      </w:r>
      <w:r>
        <w:t xml:space="preserve"> </w:t>
      </w:r>
      <w:r w:rsidRPr="00105DFD">
        <w:t>support</w:t>
      </w:r>
      <w:r>
        <w:rPr>
          <w:rFonts w:eastAsiaTheme="majorEastAsia"/>
        </w:rPr>
        <w:t xml:space="preserve"> </w:t>
      </w:r>
      <w:r w:rsidRPr="00105DFD">
        <w:rPr>
          <w:rFonts w:eastAsiaTheme="majorEastAsia"/>
        </w:rPr>
        <w:t>reproducibility</w:t>
      </w:r>
      <w:r>
        <w:rPr>
          <w:rFonts w:eastAsiaTheme="majorEastAsia"/>
        </w:rPr>
        <w:t xml:space="preserve"> </w:t>
      </w:r>
      <w:r w:rsidRPr="00105DFD">
        <w:t>and</w:t>
      </w:r>
      <w:r>
        <w:rPr>
          <w:rFonts w:eastAsiaTheme="majorEastAsia"/>
        </w:rPr>
        <w:t xml:space="preserve"> </w:t>
      </w:r>
      <w:r w:rsidRPr="00105DFD">
        <w:rPr>
          <w:rFonts w:eastAsiaTheme="majorEastAsia"/>
        </w:rPr>
        <w:t>cumulative</w:t>
      </w:r>
      <w:r>
        <w:rPr>
          <w:rFonts w:eastAsiaTheme="majorEastAsia"/>
        </w:rPr>
        <w:t xml:space="preserve"> </w:t>
      </w:r>
      <w:r w:rsidRPr="00105DFD">
        <w:rPr>
          <w:rFonts w:eastAsiaTheme="majorEastAsia"/>
        </w:rPr>
        <w:t>progress </w:t>
      </w:r>
      <w:r w:rsidRPr="00105DFD">
        <w:t xml:space="preserve">in the field </w:t>
      </w:r>
      <w:r>
        <w:fldChar w:fldCharType="begin"/>
      </w:r>
      <w:r>
        <w:instrText xml:space="preserve"> ADDIN ZOTERO_ITEM CSL_CITATION {"citationID":"tDJ7id7s","properties":{"formattedCitation":"(Collins et al., 2015)","plainCitation":"(Collins et al., 2015)","noteIndex":0},"citationItems":[{"id":4577,"uris":["http://zotero.org/users/13126831/items/SKMW64EM"],"itemData":{"id":4577,"type":"article-journal","container-title":"Circulation (New York, N.Y.)","DOI":"10.1161/CIRCULATIONAHA.114.014508","ISSN":"0009-7322","issue":"2","note":"publisher: Lippincott Williams &amp; Wilkins","page":"211-219","title":"Transparent Reporting of a Multivariable Prediction Model for Individual Prognosis or Diagnosis (TRIPOD): The TRIPOD Statement","volume":"131","author":[{"family":"Collins","given":"Gary S."},{"family":"Reitsma","given":"Johannes B."},{"family":"Altman","given":"Douglas G."},{"family":"Moons","given":"Karel G.M."}],"issued":{"date-parts":[["2015"]]}}}],"schema":"https://github.com/citation-style-language/schema/raw/master/csl-citation.json"} </w:instrText>
      </w:r>
      <w:r>
        <w:fldChar w:fldCharType="separate"/>
      </w:r>
      <w:r>
        <w:rPr>
          <w:noProof/>
        </w:rPr>
        <w:t>(Collins et al., 2015)</w:t>
      </w:r>
      <w:r>
        <w:fldChar w:fldCharType="end"/>
      </w:r>
      <w:r>
        <w:t>.</w:t>
      </w:r>
    </w:p>
    <w:p w14:paraId="2FFDB72C" w14:textId="77777777" w:rsidR="00432C0B" w:rsidRPr="00105DFD" w:rsidRDefault="00432C0B" w:rsidP="00432C0B">
      <w:pPr>
        <w:ind w:firstLine="720"/>
        <w:rPr>
          <w:color w:val="92D050"/>
        </w:rPr>
      </w:pPr>
      <w:r w:rsidRPr="00432C0B">
        <w:rPr>
          <w:color w:val="92D050"/>
        </w:rPr>
        <w:t>-also youth brain might be very noisy because of developmental changes</w:t>
      </w:r>
    </w:p>
    <w:p w14:paraId="3368E183" w14:textId="77777777" w:rsidR="00432C0B" w:rsidRDefault="00432C0B" w:rsidP="00432C0B">
      <w:pPr>
        <w:pStyle w:val="Style2"/>
      </w:pPr>
      <w:r>
        <w:t>Conclusion</w:t>
      </w:r>
    </w:p>
    <w:p w14:paraId="7424651A" w14:textId="77777777" w:rsidR="00432C0B" w:rsidRPr="00432C0B" w:rsidRDefault="00432C0B" w:rsidP="00432C0B"/>
    <w:p w14:paraId="6BEE0B2A" w14:textId="77777777" w:rsidR="00432C0B" w:rsidRPr="00432C0B" w:rsidRDefault="004F0357" w:rsidP="00432C0B">
      <w:pPr>
        <w:pStyle w:val="Bibliography"/>
      </w:pPr>
      <w:r>
        <w:fldChar w:fldCharType="begin"/>
      </w:r>
      <w:r w:rsidR="00432C0B">
        <w:instrText xml:space="preserve"> ADDIN ZOTERO_BIBL {"uncited":[],"omitted":[],"custom":[]} CSL_BIBLIOGRAPHY </w:instrText>
      </w:r>
      <w:r>
        <w:fldChar w:fldCharType="separate"/>
      </w:r>
      <w:r w:rsidR="00432C0B" w:rsidRPr="00432C0B">
        <w:t>Achenbach, T. M. (2001). Manual for the ASEBA school-age forms &amp; profiles: Child behavior checklist for ages 6-18, teacher’s report form, youth self-report: An integrated system of multi-informant assessment. ASEBA.</w:t>
      </w:r>
    </w:p>
    <w:p w14:paraId="262F3FD2" w14:textId="77777777" w:rsidR="00432C0B" w:rsidRPr="00432C0B" w:rsidRDefault="00432C0B" w:rsidP="00432C0B">
      <w:pPr>
        <w:pStyle w:val="Bibliography"/>
      </w:pPr>
      <w:r w:rsidRPr="00432C0B">
        <w:t>Achenbach, T. M., McConaughy, S. H., &amp; Howell, C. T. (1987). Child/Adolescent Behavioral and Emotional Problems: Implications of Cross-Informant Correlations for Situational Specificity. Psychol Bull, 101(2), 213–232. https://doi.org/10.1037/0033-2909.101.2.213</w:t>
      </w:r>
    </w:p>
    <w:p w14:paraId="7DB034FA" w14:textId="77777777" w:rsidR="00432C0B" w:rsidRPr="00432C0B" w:rsidRDefault="00432C0B" w:rsidP="00432C0B">
      <w:pPr>
        <w:pStyle w:val="Bibliography"/>
        <w:rPr>
          <w:lang w:val="nb-NO"/>
        </w:rPr>
      </w:pPr>
      <w:r w:rsidRPr="00432C0B">
        <w:t xml:space="preserve">Arbabshirani, M. R., Plis, S., Sui, J., &amp; Calhoun, V. D. (2017). Single subject prediction of brain disorders in neuroimaging: Promises and pitfalls. </w:t>
      </w:r>
      <w:r w:rsidRPr="00432C0B">
        <w:rPr>
          <w:lang w:val="nb-NO"/>
        </w:rPr>
        <w:t>NeuroImage, 145, 137–165. https://doi.org/10.1016/j.neuroimage.2016.02.079</w:t>
      </w:r>
    </w:p>
    <w:p w14:paraId="6BED44EB" w14:textId="77777777" w:rsidR="00432C0B" w:rsidRPr="00432C0B" w:rsidRDefault="00432C0B" w:rsidP="00432C0B">
      <w:pPr>
        <w:pStyle w:val="Bibliography"/>
      </w:pPr>
      <w:r w:rsidRPr="00432C0B">
        <w:rPr>
          <w:lang w:val="nb-NO"/>
        </w:rPr>
        <w:t xml:space="preserve">Bzdok, D., &amp; Meyer-Lindenberg, A. (2018). </w:t>
      </w:r>
      <w:r w:rsidRPr="00432C0B">
        <w:t>Machine Learning for Precision Psychiatry: Opportunities and Challenges. Biol Psychiatry Cogn Neurosci Neuroimaging, 3(3), 223–230. https://doi.org/10.1016/j.bpsc.2017.11.007</w:t>
      </w:r>
    </w:p>
    <w:p w14:paraId="0879CD02" w14:textId="77777777" w:rsidR="00432C0B" w:rsidRPr="00432C0B" w:rsidRDefault="00432C0B" w:rsidP="00432C0B">
      <w:pPr>
        <w:pStyle w:val="Bibliography"/>
      </w:pPr>
      <w:r w:rsidRPr="00432C0B">
        <w:lastRenderedPageBreak/>
        <w:t>Chawla, N. V., Bowyer, K. W., Hall, L. O., &amp; Kegelmeyer, W. P. (2002). SMOTE: Synthetic Minority Over-sampling Technique. The Journal of Artificial Intelligence Research, 16, 321–357. https://doi.org/10.1613/jair.953</w:t>
      </w:r>
    </w:p>
    <w:p w14:paraId="43BA6CEA" w14:textId="77777777" w:rsidR="00432C0B" w:rsidRPr="00432C0B" w:rsidRDefault="00432C0B" w:rsidP="00432C0B">
      <w:pPr>
        <w:pStyle w:val="Bibliography"/>
      </w:pPr>
      <w:r w:rsidRPr="00432C0B">
        <w:t>Collins, G. S., Reitsma, J. B., Altman, D. G., &amp; Moons, K. G. M. (2015). Transparent Reporting of a Multivariable Prediction Model for Individual Prognosis or Diagnosis (TRIPOD): The TRIPOD Statement. Circulation (New York, N.Y.), 131(2), 211–219. https://doi.org/10.1161/CIRCULATIONAHA.114.014508</w:t>
      </w:r>
    </w:p>
    <w:p w14:paraId="61F126C5" w14:textId="77777777" w:rsidR="00432C0B" w:rsidRPr="00432C0B" w:rsidRDefault="00432C0B" w:rsidP="00432C0B">
      <w:pPr>
        <w:pStyle w:val="Bibliography"/>
      </w:pPr>
      <w:r w:rsidRPr="00432C0B">
        <w:t>De Los Reyes, A., Augenstein, T. M., Wang, M., Thomas, S. A., Drabick, D. A. G., Burgers, D. E., &amp; Rabinowitz, J. (2015). The validity of the multi-informant approach to assessing child and adolescent mental health. Psychological Bulletin, 141(4), 858–900. https://doi.org/10.1037/a0038498</w:t>
      </w:r>
    </w:p>
    <w:p w14:paraId="7B6944A1" w14:textId="77777777" w:rsidR="00432C0B" w:rsidRPr="00432C0B" w:rsidRDefault="00432C0B" w:rsidP="00432C0B">
      <w:pPr>
        <w:pStyle w:val="Bibliography"/>
      </w:pPr>
      <w:r w:rsidRPr="00432C0B">
        <w:t>De Los Reyes, A., &amp; Kazdin, A. E. (2005). Informant Discrepancies in the Assessment of Childhood Psychopathology: A Critical Review, Theoretical Framework, and Recommendations for Further Study. Psychological Bulletin, 131(4), 483–509. https://doi.org/10.1037/0033-2909.131.4.483</w:t>
      </w:r>
    </w:p>
    <w:p w14:paraId="107AD85E" w14:textId="77777777" w:rsidR="00432C0B" w:rsidRPr="00432C0B" w:rsidRDefault="00432C0B" w:rsidP="00432C0B">
      <w:pPr>
        <w:pStyle w:val="Bibliography"/>
      </w:pPr>
      <w:r w:rsidRPr="00432C0B">
        <w:t>De Los Reyes, A., &amp; Makol, B. A. (2022). Informant Reports in Clinical Assessment. In Comprehensive Clinical Psychology (pp. 105–122). Elsevier. https://doi.org/10.1016/B978-0-12-818697-8.00113-8</w:t>
      </w:r>
    </w:p>
    <w:p w14:paraId="53CB35A3" w14:textId="77777777" w:rsidR="00432C0B" w:rsidRPr="00432C0B" w:rsidRDefault="00432C0B" w:rsidP="00432C0B">
      <w:pPr>
        <w:pStyle w:val="Bibliography"/>
      </w:pPr>
      <w:r w:rsidRPr="00432C0B">
        <w:rPr>
          <w:lang w:val="nb-NO"/>
        </w:rPr>
        <w:t xml:space="preserve">Dwyer, D. B., Falkai, P., &amp; Koutsouleris, N. (2018). </w:t>
      </w:r>
      <w:r w:rsidRPr="00432C0B">
        <w:t>Machine Learning Approaches for Clinical Psychology and Psychiatry. Annu Rev Clin Psychol, 14(1), 91–118. https://doi.org/10.1146/annurev-clinpsy-032816-045037</w:t>
      </w:r>
    </w:p>
    <w:p w14:paraId="35D57D7D" w14:textId="77777777" w:rsidR="00432C0B" w:rsidRPr="00432C0B" w:rsidRDefault="00432C0B" w:rsidP="00432C0B">
      <w:pPr>
        <w:pStyle w:val="Bibliography"/>
      </w:pPr>
      <w:r w:rsidRPr="00432C0B">
        <w:lastRenderedPageBreak/>
        <w:t>He, H., &amp; Garcia, E. A. (2009). Learning from Imbalanced Data. IEEE Transactions on Knowledge and Data Engineering, 21(9), 1263–1284. https://doi.org/10.1109/TKDE.2008.239</w:t>
      </w:r>
    </w:p>
    <w:p w14:paraId="5A3C04FE" w14:textId="77777777" w:rsidR="00432C0B" w:rsidRPr="00432C0B" w:rsidRDefault="00432C0B" w:rsidP="00432C0B">
      <w:pPr>
        <w:pStyle w:val="Bibliography"/>
      </w:pPr>
      <w:r w:rsidRPr="00432C0B">
        <w:t>Insel, T. R. (2017). Digital Phenotyping: Technology for a New Science of Behavior. JAMA, 318(13), 1215–1216. https://doi.org/10.1001/jama.2017.11295</w:t>
      </w:r>
    </w:p>
    <w:p w14:paraId="4B986348" w14:textId="77777777" w:rsidR="00432C0B" w:rsidRPr="00432C0B" w:rsidRDefault="00432C0B" w:rsidP="00432C0B">
      <w:pPr>
        <w:pStyle w:val="Bibliography"/>
      </w:pPr>
      <w:r w:rsidRPr="00432C0B">
        <w:t>Ivankovic, F., Johnson, S., Shen, J., Scharf, J. M., &amp; Mathews, C. A. (2024). Optimization of self‐ or parent‐reported psychiatric phenotypes in longitudinal studies. Journal of Child Psychology and Psychiatry. https://doi.org/10.1111/jcpp.14054</w:t>
      </w:r>
    </w:p>
    <w:p w14:paraId="3025A749" w14:textId="77777777" w:rsidR="00432C0B" w:rsidRPr="00432C0B" w:rsidRDefault="00432C0B" w:rsidP="00432C0B">
      <w:pPr>
        <w:pStyle w:val="Bibliography"/>
      </w:pPr>
      <w:r w:rsidRPr="00432C0B">
        <w:t>Lipton, Z. C. (2018). The Mythos of Model Interpretability: In machine learning, the concept of interpretability is both important and slippery. ACM Queue, 16(3), 31–57. https://doi.org/10.1145/3236386.3241340</w:t>
      </w:r>
    </w:p>
    <w:p w14:paraId="2F8F651A" w14:textId="77777777" w:rsidR="00432C0B" w:rsidRPr="00432C0B" w:rsidRDefault="00432C0B" w:rsidP="00432C0B">
      <w:pPr>
        <w:pStyle w:val="Bibliography"/>
      </w:pPr>
      <w:r w:rsidRPr="00432C0B">
        <w:t>Ng, A. Y. (2004). Feature selection, L</w:t>
      </w:r>
      <w:r w:rsidRPr="00432C0B">
        <w:rPr>
          <w:vertAlign w:val="subscript"/>
        </w:rPr>
        <w:t>1</w:t>
      </w:r>
      <w:r w:rsidRPr="00432C0B">
        <w:t xml:space="preserve"> vs. L</w:t>
      </w:r>
      <w:r w:rsidRPr="00432C0B">
        <w:rPr>
          <w:vertAlign w:val="subscript"/>
        </w:rPr>
        <w:t>2</w:t>
      </w:r>
      <w:r w:rsidRPr="00432C0B">
        <w:t xml:space="preserve"> regularization, and rotational invariance. Twenty-First International Conference on Machine Learning  - ICML ’04, 78. https://doi.org/10.1145/1015330.1015435</w:t>
      </w:r>
    </w:p>
    <w:p w14:paraId="2B265829" w14:textId="77777777" w:rsidR="00432C0B" w:rsidRPr="00432C0B" w:rsidRDefault="00432C0B" w:rsidP="00432C0B">
      <w:pPr>
        <w:pStyle w:val="Bibliography"/>
      </w:pPr>
      <w:r w:rsidRPr="00432C0B">
        <w:t>Peduzzi, P., Concato, J., Kemper, E., Holford, T. R., &amp; Feinstein, A. R. (1996). A simulation study of the number of events per variable in logistic regression analysis. J Clin Epidemiol, 49(12), 1373–1379. https://doi.org/10.1016/S0895-4356(96)00236-3</w:t>
      </w:r>
    </w:p>
    <w:p w14:paraId="7910DBD5" w14:textId="77777777" w:rsidR="00432C0B" w:rsidRPr="00432C0B" w:rsidRDefault="00432C0B" w:rsidP="00432C0B">
      <w:pPr>
        <w:pStyle w:val="Bibliography"/>
        <w:rPr>
          <w:lang w:val="nb-NO"/>
        </w:rPr>
      </w:pPr>
      <w:r w:rsidRPr="00432C0B">
        <w:t xml:space="preserve">Riley, R. D., Snell, K. I., Ensor, J., Burke, D. L., Harrell Jr, F. E., Moons, K. G., &amp; Collins, G. S. (2019). Minimum sample size for developing a multivariable prediction model: PART II ‐ binary and time‐to‐event outcomes. </w:t>
      </w:r>
      <w:r w:rsidRPr="00432C0B">
        <w:rPr>
          <w:lang w:val="nb-NO"/>
        </w:rPr>
        <w:t>Stat Med, 38(7), 1276–1296. https://doi.org/10.1002/sim.7992</w:t>
      </w:r>
    </w:p>
    <w:p w14:paraId="16CE6A66" w14:textId="77777777" w:rsidR="00432C0B" w:rsidRPr="00432C0B" w:rsidRDefault="00432C0B" w:rsidP="00432C0B">
      <w:pPr>
        <w:pStyle w:val="Bibliography"/>
      </w:pPr>
      <w:r w:rsidRPr="00432C0B">
        <w:rPr>
          <w:lang w:val="nb-NO"/>
        </w:rPr>
        <w:t xml:space="preserve">Shwartz-Ziv, R., &amp; Armon, A. (2022). </w:t>
      </w:r>
      <w:r w:rsidRPr="00432C0B">
        <w:t>Tabular data: Deep learning is not all you need. Information Fusion, 81, 84–90. https://doi.org/10.1016/j.inffus.2021.11.011</w:t>
      </w:r>
    </w:p>
    <w:p w14:paraId="07D493D0" w14:textId="77777777" w:rsidR="00432C0B" w:rsidRPr="00432C0B" w:rsidRDefault="00432C0B" w:rsidP="00432C0B">
      <w:pPr>
        <w:pStyle w:val="Bibliography"/>
      </w:pPr>
      <w:r w:rsidRPr="00432C0B">
        <w:lastRenderedPageBreak/>
        <w:t>Van Calster, B., McLernon, D. J., van Smeden, M., Wynants, L., &amp; Steyerberg, E. W. (2019). Calibration: The Achilles heel of predictive analytics. BMC Med, 17(1), 230–230. https://doi.org/10.1186/s12916-019-1466-7</w:t>
      </w:r>
    </w:p>
    <w:p w14:paraId="0137545B" w14:textId="77777777" w:rsidR="00432C0B" w:rsidRPr="00432C0B" w:rsidRDefault="00432C0B" w:rsidP="00432C0B">
      <w:pPr>
        <w:pStyle w:val="Bibliography"/>
      </w:pPr>
      <w:r w:rsidRPr="00432C0B">
        <w:t>Youngstrom, E., Loeber, R., &amp; Stouthamer-Loeber, M. (2000). Patterns and correlates of agreement between parent, teacher, and male adolescent ratings of externalizing and internalizing problems. Journal of Consulting and Clinical Psychology, 68(6), 1038–1050. https://doi.org/10.1037/0022-006X.68.6.1038</w:t>
      </w:r>
    </w:p>
    <w:p w14:paraId="42ABC69B" w14:textId="77777777" w:rsidR="00432C0B" w:rsidRPr="00432C0B" w:rsidRDefault="00432C0B" w:rsidP="00432C0B">
      <w:pPr>
        <w:pStyle w:val="Bibliography"/>
      </w:pPr>
      <w:r w:rsidRPr="00432C0B">
        <w:t>Zhu, X., &amp; Goldberg, A. B. (2009). Introduction to Semi-Supervised Learning. 3(1), 1–130. https://doi.org/10.2200/S00196ED1V01Y200906AIM006</w:t>
      </w:r>
    </w:p>
    <w:p w14:paraId="05D03015" w14:textId="33274BFD" w:rsidR="0044407B" w:rsidRDefault="004F0357">
      <w:r>
        <w:fldChar w:fldCharType="end"/>
      </w:r>
    </w:p>
    <w:sectPr w:rsidR="0044407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4" w:author="Margrete Soya Heimvik" w:date="2025-05-03T09:02:00Z" w:initials="MH">
    <w:p w14:paraId="59A01FDA" w14:textId="77777777" w:rsidR="00432C0B" w:rsidRDefault="00432C0B" w:rsidP="00432C0B">
      <w:r>
        <w:rPr>
          <w:rStyle w:val="CommentReference"/>
        </w:rPr>
        <w:annotationRef/>
      </w:r>
      <w:r>
        <w:rPr>
          <w:color w:val="000000"/>
          <w:sz w:val="20"/>
          <w:szCs w:val="20"/>
        </w:rPr>
        <w:t>Actually we did try to add them in the initial linear models and they did not have that much added value so I will add those results to the appendix so this part will change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59A01FD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3B90432F" w16cex:dateUtc="2025-05-03T07: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9A01FDA" w16cid:durableId="3B90432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Margrete Soya Heimvik">
    <w15:presenceInfo w15:providerId="AD" w15:userId="S::margrsh@uio.no::5a612a65-8c02-431e-8d1b-f0930715ff1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357"/>
    <w:rsid w:val="00432C0B"/>
    <w:rsid w:val="0044407B"/>
    <w:rsid w:val="004A7304"/>
    <w:rsid w:val="004F0357"/>
    <w:rsid w:val="008A3EC4"/>
    <w:rsid w:val="00B965EA"/>
    <w:rsid w:val="00BC3266"/>
    <w:rsid w:val="00F0750D"/>
    <w:rsid w:val="00F86355"/>
    <w:rsid w:val="00F926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CEC81FB"/>
  <w15:chartTrackingRefBased/>
  <w15:docId w15:val="{2898C3E3-2971-1A45-A78F-B19705EB9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0357"/>
    <w:pPr>
      <w:spacing w:line="360" w:lineRule="auto"/>
    </w:pPr>
    <w:rPr>
      <w:rFonts w:ascii="Times New Roman" w:eastAsia="Times New Roman" w:hAnsi="Times New Roman" w:cs="Times New Roman"/>
      <w:kern w:val="0"/>
      <w:lang w:val="en-US"/>
      <w14:ligatures w14:val="none"/>
    </w:rPr>
  </w:style>
  <w:style w:type="paragraph" w:styleId="Heading1">
    <w:name w:val="heading 1"/>
    <w:basedOn w:val="Normal"/>
    <w:next w:val="Normal"/>
    <w:link w:val="Heading1Char"/>
    <w:uiPriority w:val="9"/>
    <w:qFormat/>
    <w:rsid w:val="004F0357"/>
    <w:pPr>
      <w:keepNext/>
      <w:keepLines/>
      <w:spacing w:before="360" w:after="80" w:line="240" w:lineRule="auto"/>
      <w:outlineLvl w:val="0"/>
    </w:pPr>
    <w:rPr>
      <w:rFonts w:asciiTheme="majorHAnsi" w:eastAsiaTheme="majorEastAsia" w:hAnsiTheme="majorHAnsi" w:cstheme="majorBidi"/>
      <w:color w:val="2F5496" w:themeColor="accent1" w:themeShade="BF"/>
      <w:kern w:val="2"/>
      <w:sz w:val="40"/>
      <w:szCs w:val="40"/>
      <w:lang w:val="en-GB"/>
      <w14:ligatures w14:val="standardContextual"/>
    </w:rPr>
  </w:style>
  <w:style w:type="paragraph" w:styleId="Heading2">
    <w:name w:val="heading 2"/>
    <w:basedOn w:val="Normal"/>
    <w:next w:val="Normal"/>
    <w:link w:val="Heading2Char"/>
    <w:uiPriority w:val="9"/>
    <w:semiHidden/>
    <w:unhideWhenUsed/>
    <w:qFormat/>
    <w:rsid w:val="004F0357"/>
    <w:pPr>
      <w:keepNext/>
      <w:keepLines/>
      <w:spacing w:before="160" w:after="80" w:line="240" w:lineRule="auto"/>
      <w:outlineLvl w:val="1"/>
    </w:pPr>
    <w:rPr>
      <w:rFonts w:asciiTheme="majorHAnsi" w:eastAsiaTheme="majorEastAsia" w:hAnsiTheme="majorHAnsi" w:cstheme="majorBidi"/>
      <w:color w:val="2F5496" w:themeColor="accent1" w:themeShade="BF"/>
      <w:kern w:val="2"/>
      <w:sz w:val="32"/>
      <w:szCs w:val="32"/>
      <w:lang w:val="en-GB"/>
      <w14:ligatures w14:val="standardContextual"/>
    </w:rPr>
  </w:style>
  <w:style w:type="paragraph" w:styleId="Heading3">
    <w:name w:val="heading 3"/>
    <w:basedOn w:val="Normal"/>
    <w:next w:val="Normal"/>
    <w:link w:val="Heading3Char"/>
    <w:uiPriority w:val="9"/>
    <w:semiHidden/>
    <w:unhideWhenUsed/>
    <w:qFormat/>
    <w:rsid w:val="004F0357"/>
    <w:pPr>
      <w:keepNext/>
      <w:keepLines/>
      <w:spacing w:before="160" w:after="80" w:line="240" w:lineRule="auto"/>
      <w:outlineLvl w:val="2"/>
    </w:pPr>
    <w:rPr>
      <w:rFonts w:asciiTheme="minorHAnsi" w:eastAsiaTheme="majorEastAsia" w:hAnsiTheme="minorHAnsi" w:cstheme="majorBidi"/>
      <w:color w:val="2F5496" w:themeColor="accent1" w:themeShade="BF"/>
      <w:kern w:val="2"/>
      <w:sz w:val="28"/>
      <w:szCs w:val="28"/>
      <w:lang w:val="en-GB"/>
      <w14:ligatures w14:val="standardContextual"/>
    </w:rPr>
  </w:style>
  <w:style w:type="paragraph" w:styleId="Heading4">
    <w:name w:val="heading 4"/>
    <w:basedOn w:val="Normal"/>
    <w:next w:val="Normal"/>
    <w:link w:val="Heading4Char"/>
    <w:uiPriority w:val="9"/>
    <w:semiHidden/>
    <w:unhideWhenUsed/>
    <w:qFormat/>
    <w:rsid w:val="004F0357"/>
    <w:pPr>
      <w:keepNext/>
      <w:keepLines/>
      <w:spacing w:before="80" w:after="40" w:line="240" w:lineRule="auto"/>
      <w:outlineLvl w:val="3"/>
    </w:pPr>
    <w:rPr>
      <w:rFonts w:asciiTheme="minorHAnsi" w:eastAsiaTheme="majorEastAsia" w:hAnsiTheme="minorHAnsi" w:cstheme="majorBidi"/>
      <w:i/>
      <w:iCs/>
      <w:color w:val="2F5496" w:themeColor="accent1" w:themeShade="BF"/>
      <w:kern w:val="2"/>
      <w:lang w:val="en-GB"/>
      <w14:ligatures w14:val="standardContextual"/>
    </w:rPr>
  </w:style>
  <w:style w:type="paragraph" w:styleId="Heading5">
    <w:name w:val="heading 5"/>
    <w:basedOn w:val="Normal"/>
    <w:next w:val="Normal"/>
    <w:link w:val="Heading5Char"/>
    <w:uiPriority w:val="9"/>
    <w:semiHidden/>
    <w:unhideWhenUsed/>
    <w:qFormat/>
    <w:rsid w:val="004F0357"/>
    <w:pPr>
      <w:keepNext/>
      <w:keepLines/>
      <w:spacing w:before="80" w:after="40" w:line="240" w:lineRule="auto"/>
      <w:outlineLvl w:val="4"/>
    </w:pPr>
    <w:rPr>
      <w:rFonts w:asciiTheme="minorHAnsi" w:eastAsiaTheme="majorEastAsia" w:hAnsiTheme="minorHAnsi" w:cstheme="majorBidi"/>
      <w:color w:val="2F5496" w:themeColor="accent1" w:themeShade="BF"/>
      <w:kern w:val="2"/>
      <w:lang w:val="en-GB"/>
      <w14:ligatures w14:val="standardContextual"/>
    </w:rPr>
  </w:style>
  <w:style w:type="paragraph" w:styleId="Heading6">
    <w:name w:val="heading 6"/>
    <w:basedOn w:val="Normal"/>
    <w:next w:val="Normal"/>
    <w:link w:val="Heading6Char"/>
    <w:uiPriority w:val="9"/>
    <w:semiHidden/>
    <w:unhideWhenUsed/>
    <w:qFormat/>
    <w:rsid w:val="004F0357"/>
    <w:pPr>
      <w:keepNext/>
      <w:keepLines/>
      <w:spacing w:before="40" w:line="240" w:lineRule="auto"/>
      <w:outlineLvl w:val="5"/>
    </w:pPr>
    <w:rPr>
      <w:rFonts w:asciiTheme="minorHAnsi" w:eastAsiaTheme="majorEastAsia" w:hAnsiTheme="minorHAnsi" w:cstheme="majorBidi"/>
      <w:i/>
      <w:iCs/>
      <w:color w:val="595959" w:themeColor="text1" w:themeTint="A6"/>
      <w:kern w:val="2"/>
      <w:lang w:val="en-GB"/>
      <w14:ligatures w14:val="standardContextual"/>
    </w:rPr>
  </w:style>
  <w:style w:type="paragraph" w:styleId="Heading7">
    <w:name w:val="heading 7"/>
    <w:basedOn w:val="Normal"/>
    <w:next w:val="Normal"/>
    <w:link w:val="Heading7Char"/>
    <w:uiPriority w:val="9"/>
    <w:semiHidden/>
    <w:unhideWhenUsed/>
    <w:qFormat/>
    <w:rsid w:val="004F0357"/>
    <w:pPr>
      <w:keepNext/>
      <w:keepLines/>
      <w:spacing w:before="40" w:line="240" w:lineRule="auto"/>
      <w:outlineLvl w:val="6"/>
    </w:pPr>
    <w:rPr>
      <w:rFonts w:asciiTheme="minorHAnsi" w:eastAsiaTheme="majorEastAsia" w:hAnsiTheme="minorHAnsi" w:cstheme="majorBidi"/>
      <w:color w:val="595959" w:themeColor="text1" w:themeTint="A6"/>
      <w:kern w:val="2"/>
      <w:lang w:val="en-GB"/>
      <w14:ligatures w14:val="standardContextual"/>
    </w:rPr>
  </w:style>
  <w:style w:type="paragraph" w:styleId="Heading8">
    <w:name w:val="heading 8"/>
    <w:basedOn w:val="Normal"/>
    <w:next w:val="Normal"/>
    <w:link w:val="Heading8Char"/>
    <w:uiPriority w:val="9"/>
    <w:semiHidden/>
    <w:unhideWhenUsed/>
    <w:qFormat/>
    <w:rsid w:val="004F0357"/>
    <w:pPr>
      <w:keepNext/>
      <w:keepLines/>
      <w:spacing w:line="240" w:lineRule="auto"/>
      <w:outlineLvl w:val="7"/>
    </w:pPr>
    <w:rPr>
      <w:rFonts w:asciiTheme="minorHAnsi" w:eastAsiaTheme="majorEastAsia" w:hAnsiTheme="minorHAnsi" w:cstheme="majorBidi"/>
      <w:i/>
      <w:iCs/>
      <w:color w:val="272727" w:themeColor="text1" w:themeTint="D8"/>
      <w:kern w:val="2"/>
      <w:lang w:val="en-GB"/>
      <w14:ligatures w14:val="standardContextual"/>
    </w:rPr>
  </w:style>
  <w:style w:type="paragraph" w:styleId="Heading9">
    <w:name w:val="heading 9"/>
    <w:basedOn w:val="Normal"/>
    <w:next w:val="Normal"/>
    <w:link w:val="Heading9Char"/>
    <w:uiPriority w:val="9"/>
    <w:semiHidden/>
    <w:unhideWhenUsed/>
    <w:qFormat/>
    <w:rsid w:val="004F0357"/>
    <w:pPr>
      <w:keepNext/>
      <w:keepLines/>
      <w:spacing w:line="240" w:lineRule="auto"/>
      <w:outlineLvl w:val="8"/>
    </w:pPr>
    <w:rPr>
      <w:rFonts w:asciiTheme="minorHAnsi" w:eastAsiaTheme="majorEastAsia" w:hAnsiTheme="minorHAnsi" w:cstheme="majorBidi"/>
      <w:color w:val="272727" w:themeColor="text1" w:themeTint="D8"/>
      <w:kern w:val="2"/>
      <w:lang w:val="en-GB"/>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035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F035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F035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F035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F035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F035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F035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F035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F0357"/>
    <w:rPr>
      <w:rFonts w:eastAsiaTheme="majorEastAsia" w:cstheme="majorBidi"/>
      <w:color w:val="272727" w:themeColor="text1" w:themeTint="D8"/>
    </w:rPr>
  </w:style>
  <w:style w:type="paragraph" w:styleId="Title">
    <w:name w:val="Title"/>
    <w:basedOn w:val="Normal"/>
    <w:next w:val="Normal"/>
    <w:link w:val="TitleChar"/>
    <w:uiPriority w:val="10"/>
    <w:qFormat/>
    <w:rsid w:val="004F0357"/>
    <w:pPr>
      <w:spacing w:after="80" w:line="240" w:lineRule="auto"/>
      <w:contextualSpacing/>
    </w:pPr>
    <w:rPr>
      <w:rFonts w:asciiTheme="majorHAnsi" w:eastAsiaTheme="majorEastAsia" w:hAnsiTheme="majorHAnsi" w:cstheme="majorBidi"/>
      <w:spacing w:val="-10"/>
      <w:kern w:val="28"/>
      <w:sz w:val="56"/>
      <w:szCs w:val="56"/>
      <w:lang w:val="en-GB"/>
      <w14:ligatures w14:val="standardContextual"/>
    </w:rPr>
  </w:style>
  <w:style w:type="character" w:customStyle="1" w:styleId="TitleChar">
    <w:name w:val="Title Char"/>
    <w:basedOn w:val="DefaultParagraphFont"/>
    <w:link w:val="Title"/>
    <w:uiPriority w:val="10"/>
    <w:rsid w:val="004F03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0357"/>
    <w:pPr>
      <w:numPr>
        <w:ilvl w:val="1"/>
      </w:numPr>
      <w:spacing w:after="160" w:line="240" w:lineRule="auto"/>
    </w:pPr>
    <w:rPr>
      <w:rFonts w:asciiTheme="minorHAnsi" w:eastAsiaTheme="majorEastAsia" w:hAnsiTheme="minorHAnsi" w:cstheme="majorBidi"/>
      <w:color w:val="595959" w:themeColor="text1" w:themeTint="A6"/>
      <w:spacing w:val="15"/>
      <w:kern w:val="2"/>
      <w:sz w:val="28"/>
      <w:szCs w:val="28"/>
      <w:lang w:val="en-GB"/>
      <w14:ligatures w14:val="standardContextual"/>
    </w:rPr>
  </w:style>
  <w:style w:type="character" w:customStyle="1" w:styleId="SubtitleChar">
    <w:name w:val="Subtitle Char"/>
    <w:basedOn w:val="DefaultParagraphFont"/>
    <w:link w:val="Subtitle"/>
    <w:uiPriority w:val="11"/>
    <w:rsid w:val="004F035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F0357"/>
    <w:pPr>
      <w:spacing w:before="160" w:after="160" w:line="240" w:lineRule="auto"/>
      <w:jc w:val="center"/>
    </w:pPr>
    <w:rPr>
      <w:rFonts w:asciiTheme="minorHAnsi" w:eastAsiaTheme="minorHAnsi" w:hAnsiTheme="minorHAnsi" w:cstheme="minorBidi"/>
      <w:i/>
      <w:iCs/>
      <w:color w:val="404040" w:themeColor="text1" w:themeTint="BF"/>
      <w:kern w:val="2"/>
      <w:lang w:val="en-GB"/>
      <w14:ligatures w14:val="standardContextual"/>
    </w:rPr>
  </w:style>
  <w:style w:type="character" w:customStyle="1" w:styleId="QuoteChar">
    <w:name w:val="Quote Char"/>
    <w:basedOn w:val="DefaultParagraphFont"/>
    <w:link w:val="Quote"/>
    <w:uiPriority w:val="29"/>
    <w:rsid w:val="004F0357"/>
    <w:rPr>
      <w:i/>
      <w:iCs/>
      <w:color w:val="404040" w:themeColor="text1" w:themeTint="BF"/>
    </w:rPr>
  </w:style>
  <w:style w:type="paragraph" w:styleId="ListParagraph">
    <w:name w:val="List Paragraph"/>
    <w:basedOn w:val="Normal"/>
    <w:uiPriority w:val="34"/>
    <w:qFormat/>
    <w:rsid w:val="004F0357"/>
    <w:pPr>
      <w:spacing w:line="240" w:lineRule="auto"/>
      <w:ind w:left="720"/>
      <w:contextualSpacing/>
    </w:pPr>
    <w:rPr>
      <w:rFonts w:asciiTheme="minorHAnsi" w:eastAsiaTheme="minorHAnsi" w:hAnsiTheme="minorHAnsi" w:cstheme="minorBidi"/>
      <w:kern w:val="2"/>
      <w:lang w:val="en-GB"/>
      <w14:ligatures w14:val="standardContextual"/>
    </w:rPr>
  </w:style>
  <w:style w:type="character" w:styleId="IntenseEmphasis">
    <w:name w:val="Intense Emphasis"/>
    <w:basedOn w:val="DefaultParagraphFont"/>
    <w:uiPriority w:val="21"/>
    <w:qFormat/>
    <w:rsid w:val="004F0357"/>
    <w:rPr>
      <w:i/>
      <w:iCs/>
      <w:color w:val="2F5496" w:themeColor="accent1" w:themeShade="BF"/>
    </w:rPr>
  </w:style>
  <w:style w:type="paragraph" w:styleId="IntenseQuote">
    <w:name w:val="Intense Quote"/>
    <w:basedOn w:val="Normal"/>
    <w:next w:val="Normal"/>
    <w:link w:val="IntenseQuoteChar"/>
    <w:uiPriority w:val="30"/>
    <w:qFormat/>
    <w:rsid w:val="004F0357"/>
    <w:pPr>
      <w:pBdr>
        <w:top w:val="single" w:sz="4" w:space="10" w:color="2F5496" w:themeColor="accent1" w:themeShade="BF"/>
        <w:bottom w:val="single" w:sz="4" w:space="10" w:color="2F5496" w:themeColor="accent1" w:themeShade="BF"/>
      </w:pBdr>
      <w:spacing w:before="360" w:after="360" w:line="240" w:lineRule="auto"/>
      <w:ind w:left="864" w:right="864"/>
      <w:jc w:val="center"/>
    </w:pPr>
    <w:rPr>
      <w:rFonts w:asciiTheme="minorHAnsi" w:eastAsiaTheme="minorHAnsi" w:hAnsiTheme="minorHAnsi" w:cstheme="minorBidi"/>
      <w:i/>
      <w:iCs/>
      <w:color w:val="2F5496" w:themeColor="accent1" w:themeShade="BF"/>
      <w:kern w:val="2"/>
      <w:lang w:val="en-GB"/>
      <w14:ligatures w14:val="standardContextual"/>
    </w:rPr>
  </w:style>
  <w:style w:type="character" w:customStyle="1" w:styleId="IntenseQuoteChar">
    <w:name w:val="Intense Quote Char"/>
    <w:basedOn w:val="DefaultParagraphFont"/>
    <w:link w:val="IntenseQuote"/>
    <w:uiPriority w:val="30"/>
    <w:rsid w:val="004F0357"/>
    <w:rPr>
      <w:i/>
      <w:iCs/>
      <w:color w:val="2F5496" w:themeColor="accent1" w:themeShade="BF"/>
    </w:rPr>
  </w:style>
  <w:style w:type="character" w:styleId="IntenseReference">
    <w:name w:val="Intense Reference"/>
    <w:basedOn w:val="DefaultParagraphFont"/>
    <w:uiPriority w:val="32"/>
    <w:qFormat/>
    <w:rsid w:val="004F0357"/>
    <w:rPr>
      <w:b/>
      <w:bCs/>
      <w:smallCaps/>
      <w:color w:val="2F5496" w:themeColor="accent1" w:themeShade="BF"/>
      <w:spacing w:val="5"/>
    </w:rPr>
  </w:style>
  <w:style w:type="paragraph" w:customStyle="1" w:styleId="Style1">
    <w:name w:val="Style1"/>
    <w:basedOn w:val="Heading1"/>
    <w:qFormat/>
    <w:rsid w:val="004F0357"/>
    <w:pPr>
      <w:spacing w:before="240" w:after="0" w:line="360" w:lineRule="auto"/>
      <w:jc w:val="center"/>
    </w:pPr>
    <w:rPr>
      <w:rFonts w:ascii="Times New Roman" w:hAnsi="Times New Roman"/>
      <w:b/>
      <w:color w:val="000000" w:themeColor="text1"/>
      <w:kern w:val="0"/>
      <w:sz w:val="24"/>
      <w:lang w:val="en-US"/>
      <w14:ligatures w14:val="none"/>
    </w:rPr>
  </w:style>
  <w:style w:type="paragraph" w:customStyle="1" w:styleId="Style2">
    <w:name w:val="Style2"/>
    <w:basedOn w:val="Heading2"/>
    <w:next w:val="Normal"/>
    <w:qFormat/>
    <w:rsid w:val="004F0357"/>
    <w:pPr>
      <w:spacing w:line="360" w:lineRule="auto"/>
    </w:pPr>
    <w:rPr>
      <w:rFonts w:ascii="Times New Roman" w:hAnsi="Times New Roman"/>
      <w:b/>
      <w:color w:val="000000" w:themeColor="text1"/>
      <w:kern w:val="0"/>
      <w:sz w:val="24"/>
      <w:lang w:val="en-US"/>
      <w14:ligatures w14:val="none"/>
    </w:rPr>
  </w:style>
  <w:style w:type="paragraph" w:customStyle="1" w:styleId="Style3">
    <w:name w:val="Style3"/>
    <w:basedOn w:val="Heading3"/>
    <w:next w:val="Normal"/>
    <w:qFormat/>
    <w:rsid w:val="004F0357"/>
    <w:pPr>
      <w:spacing w:line="360" w:lineRule="auto"/>
    </w:pPr>
    <w:rPr>
      <w:rFonts w:ascii="Times New Roman" w:hAnsi="Times New Roman"/>
      <w:b/>
      <w:i/>
      <w:color w:val="000000" w:themeColor="text1"/>
      <w:kern w:val="0"/>
      <w:sz w:val="24"/>
      <w:lang w:val="en-US"/>
      <w14:ligatures w14:val="none"/>
    </w:rPr>
  </w:style>
  <w:style w:type="character" w:styleId="CommentReference">
    <w:name w:val="annotation reference"/>
    <w:basedOn w:val="DefaultParagraphFont"/>
    <w:uiPriority w:val="99"/>
    <w:semiHidden/>
    <w:unhideWhenUsed/>
    <w:rsid w:val="004F0357"/>
    <w:rPr>
      <w:sz w:val="16"/>
      <w:szCs w:val="16"/>
    </w:rPr>
  </w:style>
  <w:style w:type="paragraph" w:styleId="Bibliography">
    <w:name w:val="Bibliography"/>
    <w:basedOn w:val="Normal"/>
    <w:next w:val="Normal"/>
    <w:uiPriority w:val="37"/>
    <w:unhideWhenUsed/>
    <w:rsid w:val="004F0357"/>
    <w:pPr>
      <w:spacing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9</Pages>
  <Words>9182</Words>
  <Characters>52340</Characters>
  <Application>Microsoft Office Word</Application>
  <DocSecurity>0</DocSecurity>
  <Lines>436</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Margrete Soya Heimvik</dc:creator>
  <cp:keywords/>
  <dc:description/>
  <cp:lastModifiedBy>Margrete Soya Heimvik</cp:lastModifiedBy>
  <cp:revision>1</cp:revision>
  <dcterms:created xsi:type="dcterms:W3CDTF">2025-05-03T07:36:00Z</dcterms:created>
  <dcterms:modified xsi:type="dcterms:W3CDTF">2025-05-03T07:56:00Z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zotero-version="7.0.3"&gt;&lt;session id="NZmis424"/&gt;&lt;style id="http://www.zotero.org/styles/apa" locale="en-US" hasBibliography="1" bibliographyStyleHasBeenSet="1"/&gt;&lt;prefs&gt;&lt;pref name="fieldType" value="Field"/&gt;&lt;pref name="automaticJourna</vt:lpwstr>
  </property>
  <property fmtid="{D5CDD505-2E9C-101B-9397-08002B2CF9AE}" pid="3" name="ZOTERO_PREF_2">
    <vt:lpwstr>lAbbreviations" value="true"/&gt;&lt;/prefs&gt;&lt;/data&gt;</vt:lpwstr>
  </property>
</Properties>
</file>