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Student Wellbeing &amp; Counseling Program Jan26 TR1</w:t>
      </w:r>
    </w:p>
    <w:p>
      <w:r>
        <w:t xml:space="preserve"/>
      </w:r>
    </w:p>
    <w:p>
      <w:r>
        <w:t xml:space="preserve">Idea ID: 392</w:t>
      </w:r>
    </w:p>
    <w:p>
      <w:r>
        <w:t xml:space="preserve"/>
      </w:r>
    </w:p>
    <w:p>
      <w:r>
        <w:t xml:space="preserve">Introduce a structured counseling program with monthly check-ins for students to support mental health, improve behavior, and enhance overall student engagement. During the 2025-2026 Jan period, Thu Rain is suggesting that Student Support Services should pilot a shared digital tracker because manual tracking makes trend analysis difficult. The expected result is more balanced workload across the team.</w:t>
      </w:r>
    </w:p>
    <w:sectPr>
      <w:pgSz w:w="12240" w:h="15840"/>
      <w:pgMar w:top="1440" w:right="1440" w:bottom="1440" w:left="1440" w:header="708" w:footer="708" w:gutter="0"/>
    </w:sectPr>
  </w:body>
</w:document>
</file>