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Strengthen workflow course material acce Jan26 SM2</w:t>
      </w:r>
    </w:p>
    <w:p>
      <w:r>
        <w:t xml:space="preserve"/>
      </w:r>
    </w:p>
    <w:p>
      <w:r>
        <w:t xml:space="preserve">Idea ID: 384</w:t>
      </w:r>
    </w:p>
    <w:p>
      <w:r>
        <w:t xml:space="preserve"/>
      </w:r>
    </w:p>
    <w:p>
      <w:r>
        <w:t xml:space="preserve">Our team in Quality Assurance &amp; Evaluation could benefit from a structured approach to course material access so day-to-day work becomes easier to manage. During the 2025-2026 Jan period, Su Mon is suggesting that Quality Assurance &amp; Evaluation should pilot a shared digital tracker because feedback is collected but not reviewed consistently. The expected result is more balanced workload across the team.</w:t>
      </w:r>
    </w:p>
    <w:sectPr>
      <w:pgSz w:w="12240" w:h="15840"/>
      <w:pgMar w:top="1440" w:right="1440" w:bottom="1440" w:left="1440" w:header="708" w:footer="708" w:gutter="0"/>
    </w:sectPr>
  </w:body>
</w:document>
</file>