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Curriculum Update for Industry-Relevant Jan26 VV1</w:t>
      </w:r>
    </w:p>
    <w:p>
      <w:r>
        <w:t xml:space="preserve"/>
      </w:r>
    </w:p>
    <w:p>
      <w:r>
        <w:t xml:space="preserve">Idea ID: 375</w:t>
      </w:r>
    </w:p>
    <w:p>
      <w:r>
        <w:t xml:space="preserve"/>
      </w:r>
    </w:p>
    <w:p>
      <w:r>
        <w:t xml:space="preserve">Review and update curriculum to include practical skills, digital tools, and real-world applications to better prepare students for future careers. During the 2025-2026 Jan period, Vincent Vaughn is suggesting that Curriculum Development Department should standardize follow-up communication because manual tracking makes trend analysis difficult. The expected result is clearer evidence for future departmental reviews.</w:t>
      </w:r>
    </w:p>
    <w:sectPr>
      <w:pgSz w:w="12240" w:h="15840"/>
      <w:pgMar w:top="1440" w:right="1440" w:bottom="1440" w:left="1440" w:header="708" w:footer="708" w:gutter="0"/>
    </w:sectPr>
  </w:body>
</w:document>
</file>