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16"/>
        </w:rPr>
        <w:t>BOSCHAI  ·  AIOS DELIVERY</w:t>
      </w:r>
    </w:p>
    <w:p>
      <w:pPr>
        <w:pStyle w:val="Title"/>
        <w:jc w:val="left"/>
      </w:pPr>
      <w:r>
        <w:t>Proposal — BrightPath Logistics (Fleet &amp; Driver Intelligence)</w:t>
      </w:r>
    </w:p>
    <w:p>
      <w:r>
        <w:rPr>
          <w:b/>
          <w:color w:val="555555"/>
        </w:rPr>
        <w:t xml:space="preserve">CLIENT:  </w:t>
      </w:r>
      <w:r>
        <w:t>BrightPath Logistics CC</w:t>
      </w:r>
    </w:p>
    <w:p>
      <w:r>
        <w:rPr>
          <w:b/>
          <w:color w:val="555555"/>
        </w:rPr>
        <w:t xml:space="preserve">CONTACT:  </w:t>
      </w:r>
      <w:r>
        <w:t>Trevor Mokoena, Operations Director</w:t>
      </w:r>
    </w:p>
    <w:p>
      <w:r>
        <w:rPr>
          <w:b/>
          <w:color w:val="555555"/>
        </w:rPr>
        <w:t xml:space="preserve">DATE:  </w:t>
      </w:r>
      <w:r>
        <w:t>3 June 2026</w:t>
      </w:r>
    </w:p>
    <w:p>
      <w:r>
        <w:rPr>
          <w:b/>
          <w:color w:val="555555"/>
        </w:rPr>
        <w:t xml:space="preserve">STATUS:  </w:t>
      </w:r>
      <w:r>
        <w:t>In negotiation — price sensitivity flagged</w:t>
      </w:r>
    </w:p>
    <w:p>
      <w:r>
        <w:rPr>
          <w:b/>
          <w:color w:val="555555"/>
        </w:rPr>
        <w:t xml:space="preserve">VALID UNTIL:  </w:t>
      </w:r>
      <w:r>
        <w:t>15 July 2026</w:t>
      </w:r>
    </w:p>
    <w:p>
      <w:pPr>
        <w:pStyle w:val="Heading2"/>
      </w:pPr>
      <w:r>
        <w:t>Scope Of Work</w:t>
      </w:r>
    </w:p>
    <w:p>
      <w:r>
        <w:t>AIOS layer to monitor 47-vehicle fleet: automated driver scorecards, route optimisation summaries, and fuel anomaly detection. Weekly AI brief to Trevor and daily SMS to each driver with their score.</w:t>
      </w:r>
    </w:p>
    <w:p>
      <w:r>
        <w:t>Phase 1 — Telematics data integration (Ctrack API): 3 weeks.</w:t>
      </w:r>
    </w:p>
    <w:p>
      <w:r>
        <w:t>Phase 2 — Scoring model + dashboard build: 5 weeks.</w:t>
      </w:r>
    </w:p>
    <w:p>
      <w:r>
        <w:t>Phase 3 — Driver comms automation (WhatsApp/SMS): 2 weeks.</w:t>
      </w:r>
    </w:p>
    <w:p>
      <w:pPr>
        <w:pStyle w:val="Heading2"/>
      </w:pPr>
      <w:r>
        <w:t>Investment</w:t>
      </w:r>
    </w:p>
    <w:p>
      <w:r>
        <w:t>Original quote — Build: R 195,000, Monthly: R 9,500/month.</w:t>
      </w:r>
    </w:p>
    <w:p>
      <w:r>
        <w:t>Revised quote (after negotiation, 10 June) — Build: R 165,000, Monthly: R 8,000/month. Condition: 18-month retainer commitment.</w:t>
      </w:r>
    </w:p>
    <w:p>
      <w:pPr>
        <w:pStyle w:val="Heading2"/>
      </w:pPr>
      <w:r>
        <w:t>Notes</w:t>
      </w:r>
    </w:p>
    <w:p>
      <w:r>
        <w:t>Trevor pushed back on original price — he has a competing quote from a local dev shop at R 140k build-only (no AI, no retainer model). Heinrich to send a value comparison doc by 18 June. Decision expected EOD 25 June.</w:t>
      </w:r>
    </w:p>
    <w:p>
      <w:r>
        <w:rPr>
          <w:i/>
          <w:color w:val="555555"/>
          <w:sz w:val="16"/>
        </w:rPr>
        <w:t>Prepared by Heinrich · BoschAI ·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