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4ED8"/>
          <w:sz w:val="16"/>
        </w:rPr>
        <w:t>BOSCHAI  ·  AIOS DELIVERY</w:t>
      </w:r>
    </w:p>
    <w:p>
      <w:pPr>
        <w:pStyle w:val="Title"/>
        <w:jc w:val="left"/>
      </w:pPr>
      <w:r>
        <w:t>Proposal — Elevate Property Group (Investment Intelligence Dashboard)</w:t>
      </w:r>
    </w:p>
    <w:p>
      <w:r>
        <w:rPr>
          <w:b/>
          <w:color w:val="555555"/>
        </w:rPr>
        <w:t xml:space="preserve">CLIENT:  </w:t>
      </w:r>
      <w:r>
        <w:t>Elevate Property Group</w:t>
      </w:r>
    </w:p>
    <w:p>
      <w:r>
        <w:rPr>
          <w:b/>
          <w:color w:val="555555"/>
        </w:rPr>
        <w:t xml:space="preserve">CONTACT:  </w:t>
      </w:r>
      <w:r>
        <w:t>Nomsa Khumalo, Investment Director</w:t>
      </w:r>
    </w:p>
    <w:p>
      <w:r>
        <w:rPr>
          <w:b/>
          <w:color w:val="555555"/>
        </w:rPr>
        <w:t xml:space="preserve">DATE:  </w:t>
      </w:r>
      <w:r>
        <w:t>7 June 2026</w:t>
      </w:r>
    </w:p>
    <w:p>
      <w:r>
        <w:rPr>
          <w:b/>
          <w:color w:val="555555"/>
        </w:rPr>
        <w:t xml:space="preserve">STATUS:  </w:t>
      </w:r>
      <w:r>
        <w:t>Proposal sent — first response expected week of 23 June</w:t>
      </w:r>
    </w:p>
    <w:p>
      <w:r>
        <w:rPr>
          <w:b/>
          <w:color w:val="555555"/>
        </w:rPr>
        <w:t xml:space="preserve">VALID UNTIL:  </w:t>
      </w:r>
      <w:r>
        <w:t>31 July 2026</w:t>
      </w:r>
    </w:p>
    <w:p>
      <w:pPr>
        <w:pStyle w:val="Heading2"/>
      </w:pPr>
      <w:r>
        <w:t>Scope Of Work</w:t>
      </w:r>
    </w:p>
    <w:p>
      <w:r>
        <w:t>Build an investment intelligence layer across Elevate's portfolio of 34 commercial properties. Consolidate rental income, vacancy rates, maintenance costs, and market comparables into a single AI-powered dashboard. Monthly AI brief to the board.</w:t>
      </w:r>
    </w:p>
    <w:p>
      <w:r>
        <w:rPr>
          <w:b/>
          <w:color w:val="555555"/>
        </w:rPr>
        <w:t xml:space="preserve">Key features:  </w:t>
      </w:r>
      <w:r>
        <w:t>Portfolio health score (AI-generated, updated monthly). Automated tenant risk flags (missed payments, upcoming renewals). Market comparable tracker (auto-pulls from PropData API). Board-ready PDF brief generated on the 1st of each month.</w:t>
      </w:r>
    </w:p>
    <w:p>
      <w:pPr>
        <w:pStyle w:val="Heading2"/>
      </w:pPr>
      <w:r>
        <w:t>Investment</w:t>
      </w:r>
    </w:p>
    <w:p>
      <w:r>
        <w:rPr>
          <w:b/>
          <w:color w:val="555555"/>
        </w:rPr>
        <w:t xml:space="preserve">Build:  </w:t>
      </w:r>
      <w:r>
        <w:t>R 285,000</w:t>
      </w:r>
    </w:p>
    <w:p>
      <w:r>
        <w:t>Monthly Retainer: R 15,500/month</w:t>
      </w:r>
    </w:p>
    <w:p>
      <w:pPr>
        <w:pStyle w:val="Heading2"/>
      </w:pPr>
      <w:r>
        <w:t>Payment Terms</w:t>
      </w:r>
    </w:p>
    <w:p>
      <w:r>
        <w:t>40% upfront (R 114,000), 60% on go-live. Estimated go-live: 10 weeks from contract signature.</w:t>
      </w:r>
    </w:p>
    <w:p>
      <w:pPr>
        <w:pStyle w:val="Heading2"/>
      </w:pPr>
      <w:r>
        <w:t>Notes</w:t>
      </w:r>
    </w:p>
    <w:p>
      <w:r>
        <w:t>Nomsa was referred by Anri Hartley (Hartley Retail Group — existing client). Warm lead. She reviewed our work for Hartley before the meeting. Strong fit.</w:t>
      </w:r>
    </w:p>
    <w:p>
      <w:r>
        <w:rPr>
          <w:i/>
          <w:color w:val="555555"/>
          <w:sz w:val="16"/>
        </w:rPr>
        <w:t>Prepared by Heinrich · BoschAI ·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