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6"/>
        </w:rPr>
        <w:t>BOSCHAI  ·  AIOS DELIVERY</w:t>
      </w:r>
    </w:p>
    <w:p>
      <w:pPr>
        <w:pStyle w:val="Title"/>
        <w:jc w:val="left"/>
      </w:pPr>
      <w:r>
        <w:t>Proposal — Nexgen Manufacturing (AI Process Automation)</w:t>
      </w:r>
    </w:p>
    <w:p>
      <w:r>
        <w:rPr>
          <w:b/>
          <w:color w:val="555555"/>
        </w:rPr>
        <w:t xml:space="preserve">CLIENT:  </w:t>
      </w:r>
      <w:r>
        <w:t>Nexgen Manufacturing (Pty) Ltd</w:t>
      </w:r>
    </w:p>
    <w:p>
      <w:r>
        <w:rPr>
          <w:b/>
          <w:color w:val="555555"/>
        </w:rPr>
        <w:t xml:space="preserve">CONTACT:  </w:t>
      </w:r>
      <w:r>
        <w:t>Sipho Dlamini, Head of Operations</w:t>
      </w:r>
    </w:p>
    <w:p>
      <w:r>
        <w:rPr>
          <w:b/>
          <w:color w:val="555555"/>
        </w:rPr>
        <w:t xml:space="preserve">DATE:  </w:t>
      </w:r>
      <w:r>
        <w:t>12 May 2026</w:t>
      </w:r>
    </w:p>
    <w:p>
      <w:r>
        <w:rPr>
          <w:b/>
          <w:color w:val="555555"/>
        </w:rPr>
        <w:t xml:space="preserve">STATUS:  </w:t>
      </w:r>
      <w:r>
        <w:t>Pending — awaiting sign-off from CFO</w:t>
      </w:r>
    </w:p>
    <w:p>
      <w:r>
        <w:rPr>
          <w:b/>
          <w:color w:val="555555"/>
        </w:rPr>
        <w:t xml:space="preserve">VALID UNTIL:  </w:t>
      </w:r>
      <w:r>
        <w:t>30 June 2026</w:t>
      </w:r>
    </w:p>
    <w:p>
      <w:pPr>
        <w:pStyle w:val="Heading2"/>
      </w:pPr>
      <w:r>
        <w:t>Scope Of Work</w:t>
      </w:r>
    </w:p>
    <w:p>
      <w:r>
        <w:t>Phase 1 — Process Audit &amp; Automation Mapping (4 weeks). Full audit of current production floor workflows, quality control checks, and shift reporting processes. Identify the top 8 automation candidates.</w:t>
      </w:r>
    </w:p>
    <w:p>
      <w:r>
        <w:t>Phase 2 — AIOS Build &amp; Integration (8 weeks). Build custom AI layer integrating with their existing ERP (SAP B1). Automate shift reports, defect classification, and supplier follow-ups.</w:t>
      </w:r>
    </w:p>
    <w:p>
      <w:r>
        <w:t>Phase 3 — Training &amp; Handover (2 weeks). Onsite training with operations team. Full documentation delivered.</w:t>
      </w:r>
    </w:p>
    <w:p>
      <w:pPr>
        <w:pStyle w:val="Heading2"/>
      </w:pPr>
      <w:r>
        <w:t>Investment</w:t>
      </w:r>
    </w:p>
    <w:p>
      <w:r>
        <w:t>Phase 1: R 45,000</w:t>
      </w:r>
    </w:p>
    <w:p>
      <w:r>
        <w:t>Phase 2: R 185,000</w:t>
      </w:r>
    </w:p>
    <w:p>
      <w:r>
        <w:t>Phase 3: R 25,000</w:t>
      </w:r>
    </w:p>
    <w:p>
      <w:r>
        <w:t>Monthly Retainer (post-handover): R 12,500/month</w:t>
      </w:r>
    </w:p>
    <w:p>
      <w:r>
        <w:t>TOTAL PROJECT VALUE: R 255,000 + retainer</w:t>
      </w:r>
    </w:p>
    <w:p>
      <w:pPr>
        <w:pStyle w:val="Heading2"/>
      </w:pPr>
      <w:r>
        <w:t>Payment Terms</w:t>
      </w:r>
    </w:p>
    <w:p>
      <w:r>
        <w:t>50% upfront, 25% at Phase 2 kickoff, 25% on completion.</w:t>
      </w:r>
    </w:p>
    <w:p>
      <w:pPr>
        <w:pStyle w:val="Heading2"/>
      </w:pPr>
      <w:r>
        <w:t>Notes</w:t>
      </w:r>
    </w:p>
    <w:p>
      <w:r>
        <w:t>Client expressed concern about integration with legacy SAP version (6.0). Heinrich to confirm compatibility before sign-off. Decision expected by 20 June.</w:t>
      </w:r>
    </w:p>
    <w:p>
      <w:r>
        <w:rPr>
          <w:i/>
          <w:color w:val="555555"/>
          <w:sz w:val="16"/>
        </w:rPr>
        <w:t>Prepared by Heinrich · BoschAI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