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Sandstone Medical Group (HR &amp; Compliance Automation)</w:t>
      </w:r>
    </w:p>
    <w:p>
      <w:r>
        <w:rPr>
          <w:b/>
          <w:color w:val="555555"/>
        </w:rPr>
        <w:t xml:space="preserve">CLIENT:  </w:t>
      </w:r>
      <w:r>
        <w:t>Sandstone Medical Group</w:t>
      </w:r>
    </w:p>
    <w:p>
      <w:r>
        <w:rPr>
          <w:b/>
          <w:color w:val="555555"/>
        </w:rPr>
        <w:t xml:space="preserve">CONTACT:  </w:t>
      </w:r>
      <w:r>
        <w:t>Dr. Fatima Essop, Practice Manager</w:t>
      </w:r>
    </w:p>
    <w:p>
      <w:r>
        <w:rPr>
          <w:b/>
          <w:color w:val="555555"/>
        </w:rPr>
        <w:t xml:space="preserve">DATE:  </w:t>
      </w:r>
      <w:r>
        <w:t>18 March 2026</w:t>
      </w:r>
    </w:p>
    <w:p>
      <w:r>
        <w:rPr>
          <w:b/>
          <w:color w:val="555555"/>
        </w:rPr>
        <w:t xml:space="preserve">STATUS:  </w:t>
      </w:r>
      <w:r>
        <w:t>CLOSED — client went with internal IT team</w:t>
      </w:r>
    </w:p>
    <w:p>
      <w:r>
        <w:rPr>
          <w:b/>
          <w:color w:val="555555"/>
        </w:rPr>
        <w:t xml:space="preserve">VALID UNTIL:  </w:t>
      </w:r>
      <w:r>
        <w:t>Expired</w:t>
      </w:r>
    </w:p>
    <w:p>
      <w:pPr>
        <w:pStyle w:val="Heading2"/>
      </w:pPr>
      <w:r>
        <w:t>Scope Of Work</w:t>
      </w:r>
    </w:p>
    <w:p>
      <w:r>
        <w:t>Automate HR onboarding for clinical and admin staff, compliance document tracking (HPCSA renewals, BLS certifications), and monthly payroll summary generation across 3 practices.</w:t>
      </w:r>
    </w:p>
    <w:p>
      <w:pPr>
        <w:pStyle w:val="Heading2"/>
      </w:pPr>
      <w:r>
        <w:t>Investment</w:t>
      </w:r>
    </w:p>
    <w:p>
      <w:r>
        <w:rPr>
          <w:b/>
          <w:color w:val="555555"/>
        </w:rPr>
        <w:t xml:space="preserve">Build:  </w:t>
      </w:r>
      <w:r>
        <w:t>R 145,000</w:t>
      </w:r>
    </w:p>
    <w:p>
      <w:r>
        <w:rPr>
          <w:b/>
          <w:color w:val="555555"/>
        </w:rPr>
        <w:t xml:space="preserve">Monthly:  </w:t>
      </w:r>
      <w:r>
        <w:t>R 7,500/month</w:t>
      </w:r>
    </w:p>
    <w:p>
      <w:pPr>
        <w:pStyle w:val="Heading2"/>
      </w:pPr>
      <w:r>
        <w:t>Outcome</w:t>
      </w:r>
    </w:p>
    <w:p>
      <w:r>
        <w:t>Client decided to build internally using a junior developer. Decision made 4 May 2026. Relationship maintained — Dr. Essop open to revisiting in 12 months if internal build stalls (she flagged this explicitly).</w:t>
      </w:r>
    </w:p>
    <w:p>
      <w:pPr>
        <w:pStyle w:val="Heading2"/>
      </w:pPr>
      <w:r>
        <w:t>Lesson Learned</w:t>
      </w:r>
    </w:p>
    <w:p>
      <w:r>
        <w:t>Medical clients have longer decision cycles due to committee buy-in requirements. Follow up with Sandstone in November 2026.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