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D4ED8"/>
          <w:sz w:val="16"/>
        </w:rPr>
        <w:t>BOSCHAI  ·  AIOS DELIVERY</w:t>
      </w:r>
    </w:p>
    <w:p>
      <w:pPr>
        <w:pStyle w:val="Title"/>
        <w:jc w:val="left"/>
      </w:pPr>
      <w:r>
        <w:t>Proposal — TechBridge Academy (Student Performance AI)</w:t>
      </w:r>
    </w:p>
    <w:p>
      <w:r>
        <w:rPr>
          <w:b/>
          <w:color w:val="555555"/>
        </w:rPr>
        <w:t xml:space="preserve">CLIENT:  </w:t>
      </w:r>
      <w:r>
        <w:t>TechBridge Academy (Private School Group — 4 campuses)</w:t>
      </w:r>
    </w:p>
    <w:p>
      <w:r>
        <w:rPr>
          <w:b/>
          <w:color w:val="555555"/>
        </w:rPr>
        <w:t xml:space="preserve">CONTACT:  </w:t>
      </w:r>
      <w:r>
        <w:t>Mr. Deon Fredericks, Executive Principal</w:t>
      </w:r>
    </w:p>
    <w:p>
      <w:r>
        <w:rPr>
          <w:b/>
          <w:color w:val="555555"/>
        </w:rPr>
        <w:t xml:space="preserve">DATE:  </w:t>
      </w:r>
      <w:r>
        <w:t>1 June 2026</w:t>
      </w:r>
    </w:p>
    <w:p>
      <w:r>
        <w:rPr>
          <w:b/>
          <w:color w:val="555555"/>
        </w:rPr>
        <w:t xml:space="preserve">STATUS:  </w:t>
      </w:r>
      <w:r>
        <w:t>Pending — board presentation scheduled 30 June 2026</w:t>
      </w:r>
    </w:p>
    <w:p>
      <w:r>
        <w:rPr>
          <w:b/>
          <w:color w:val="555555"/>
        </w:rPr>
        <w:t xml:space="preserve">VALID UNTIL:  </w:t>
      </w:r>
      <w:r>
        <w:t>31 August 2026</w:t>
      </w:r>
    </w:p>
    <w:p>
      <w:pPr>
        <w:pStyle w:val="Heading2"/>
      </w:pPr>
      <w:r>
        <w:t>Scope Of Work</w:t>
      </w:r>
    </w:p>
    <w:p>
      <w:r>
        <w:t>Phase 1 — Data Consolidation (6 weeks). Ingest student performance data from 4 campuses (currently in 3 different SIS platforms). Normalise and pool into a central data store.</w:t>
      </w:r>
    </w:p>
    <w:p>
      <w:r>
        <w:t>Phase 2 — Intelligence Layer (6 weeks). AI model to flag at-risk students (attendance + performance trends). Weekly brief to each campus head. Monthly board summary.</w:t>
      </w:r>
    </w:p>
    <w:p>
      <w:r>
        <w:t>Phase 3 — Parent Communication Automation (4 weeks). Auto-generate personalised progress reports and flag parents when intervention is recommended.</w:t>
      </w:r>
    </w:p>
    <w:p>
      <w:pPr>
        <w:pStyle w:val="Heading2"/>
      </w:pPr>
      <w:r>
        <w:t>Investment</w:t>
      </w:r>
    </w:p>
    <w:p>
      <w:r>
        <w:t>Build (all 3 phases): R 380,000</w:t>
      </w:r>
    </w:p>
    <w:p>
      <w:r>
        <w:t>Monthly Retainer: R 16,000/month</w:t>
      </w:r>
    </w:p>
    <w:p>
      <w:pPr>
        <w:pStyle w:val="Heading2"/>
      </w:pPr>
      <w:r>
        <w:t>Payment Terms</w:t>
      </w:r>
    </w:p>
    <w:p>
      <w:r>
        <w:t>3 milestone payments — R 127,000 per phase completion.</w:t>
      </w:r>
    </w:p>
    <w:p>
      <w:pPr>
        <w:pStyle w:val="Heading2"/>
      </w:pPr>
      <w:r>
        <w:t>Notes</w:t>
      </w:r>
    </w:p>
    <w:p>
      <w:r>
        <w:t>Board is conservative — Deon believes they'll approve if Heinrich can present ROI in terms of student retention (each student = ~R 85,000/year in fees). Heinrich to prepare a 1-page ROI case before the 30 June board meeting. Decision by 15 July 2026.</w:t>
      </w:r>
    </w:p>
    <w:p>
      <w:r>
        <w:rPr>
          <w:i/>
          <w:color w:val="555555"/>
          <w:sz w:val="16"/>
        </w:rPr>
        <w:t>Prepared by Heinrich · BoschAI ·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