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An Agentic LLM-Application Security Auditor</w:t>
      </w:r>
    </w:p>
    <w:p>
      <w:pPr>
        <w:pStyle w:val="Heading2"/>
      </w:pPr>
      <w:r>
        <w:rPr>
          <w:b w:val="0"/>
          <w:i w:val="0"/>
        </w:rPr>
        <w:t>Interim Project Report</w:t>
      </w:r>
    </w:p>
    <w:p>
      <w:pPr>
        <w:jc w:val="both"/>
      </w:pPr>
      <w:r>
        <w:rPr>
          <w:b/>
          <w:i w:val="0"/>
        </w:rPr>
        <w:t>Hein Thet Naung · Neo Jia Wei · Tan Bing Hong</w:t>
      </w:r>
    </w:p>
    <w:p>
      <w:pPr>
        <w:jc w:val="both"/>
      </w:pPr>
      <w:r>
        <w:rPr>
          <w:b w:val="0"/>
          <w:i/>
        </w:rPr>
        <w:t>Master's degree project. This report covers Phase 1 of four. Sections marked</w:t>
      </w:r>
    </w:p>
    <w:p>
      <w:pPr>
        <w:jc w:val="both"/>
      </w:pPr>
      <w:r>
        <w:rPr>
          <w:b/>
          <w:i w:val="0"/>
        </w:rPr>
        <w:t>Planned</w:t>
      </w:r>
      <w:r>
        <w:rPr>
          <w:b w:val="0"/>
          <w:i w:val="0"/>
        </w:rPr>
        <w:t xml:space="preserve"> describe work not yet carried out.</w:t>
      </w:r>
    </w:p>
    <w:p>
      <w:r>
        <w:br w:type="page"/>
      </w:r>
    </w:p>
    <w:p>
      <w:pPr>
        <w:pStyle w:val="Heading2"/>
      </w:pPr>
      <w:r>
        <w:rPr>
          <w:b w:val="0"/>
          <w:i w:val="0"/>
        </w:rPr>
        <w:t>Abstract</w:t>
      </w:r>
    </w:p>
    <w:p>
      <w:pPr>
        <w:jc w:val="both"/>
      </w:pPr>
      <w:r>
        <w:rPr>
          <w:b w:val="0"/>
          <w:i w:val="0"/>
        </w:rPr>
        <w:t>Applications built on large language models introduce failure modes that conventional static analysis does not look for: instructions smuggled in through data, agents given more capability than their task requires, and no durable record of what an agent actually did. This project builds an offline, human-in-the-loop auditor that analyses an LLM application's source and reports findings mapped to a chosen subset of the OWASP Top 10 for LLM Applications, supported by software and AI bill-of-materials evidence.</w:t>
      </w:r>
    </w:p>
    <w:p>
      <w:pPr>
        <w:jc w:val="both"/>
      </w:pPr>
      <w:r>
        <w:rPr>
          <w:b w:val="0"/>
          <w:i w:val="0"/>
        </w:rPr>
        <w:t xml:space="preserve">This report documents the completed first phase: a static </w:t>
      </w:r>
      <w:r>
        <w:rPr>
          <w:b/>
          <w:i w:val="0"/>
        </w:rPr>
        <w:t>LLM surface extractor</w:t>
      </w:r>
      <w:r>
        <w:rPr>
          <w:b w:val="0"/>
          <w:i w:val="0"/>
        </w:rPr>
        <w:t xml:space="preserve"> that identifies the four places where an application meets a model — prompt templates, agent definitions, tool definitions, and the points where outside data enters — and records each with an exact file and line. The extractor reads Python through the standard library's </w:t>
      </w:r>
      <w:r>
        <w:rPr>
          <w:rFonts w:ascii="Consolas" w:hAnsi="Consolas"/>
          <w:b w:val="0"/>
          <w:i w:val="0"/>
          <w:sz w:val="19"/>
        </w:rPr>
        <w:t>ast</w:t>
      </w:r>
      <w:r>
        <w:rPr>
          <w:b w:val="0"/>
          <w:i w:val="0"/>
        </w:rPr>
        <w:t xml:space="preserve"> module and JavaScript and TypeScript through tree-sitter, producing one language-neutral JSON artifact that later phases consume.</w:t>
      </w:r>
    </w:p>
    <w:p>
      <w:pPr>
        <w:jc w:val="both"/>
      </w:pPr>
      <w:r>
        <w:rPr>
          <w:b w:val="0"/>
          <w:i w:val="0"/>
        </w:rPr>
        <w:t>No detection results are reported here. Phases 2 to 4, which add supply-chain evidence, agentic probing, and the quantitative evaluation, are described as designed but have not been implemented. The evaluation corpus and its grading key exist but the grading key has not yet been independently verified, so no precision or recall figure in this project should currently be treated as thesis-grade.</w:t>
      </w:r>
    </w:p>
    <w:p>
      <w:r>
        <w:br w:type="page"/>
      </w:r>
    </w:p>
    <w:p>
      <w:pPr>
        <w:pStyle w:val="Heading2"/>
      </w:pPr>
      <w:r>
        <w:rPr>
          <w:b w:val="0"/>
          <w:i w:val="0"/>
        </w:rPr>
        <w:t>1. Introduction</w:t>
      </w:r>
    </w:p>
    <w:p>
      <w:pPr>
        <w:pStyle w:val="Heading3"/>
      </w:pPr>
      <w:r>
        <w:rPr>
          <w:b w:val="0"/>
          <w:i w:val="0"/>
        </w:rPr>
        <w:t>1.1 Problem</w:t>
      </w:r>
    </w:p>
    <w:p>
      <w:pPr>
        <w:jc w:val="both"/>
      </w:pPr>
      <w:r>
        <w:rPr>
          <w:b w:val="0"/>
          <w:i w:val="0"/>
        </w:rPr>
        <w:t>An LLM application is not only the model. It is the prompts that instruct it, the agent loop that drives it, the tools it is permitted to call, and every channel through which text reaches it. Each is a place where the application's behaviour can be changed by data rather than by code, which is what makes these systems difficult to reason about with existing tooling.</w:t>
      </w:r>
    </w:p>
    <w:p>
      <w:pPr>
        <w:jc w:val="both"/>
      </w:pPr>
      <w:r>
        <w:rPr>
          <w:b w:val="0"/>
          <w:i w:val="0"/>
        </w:rPr>
        <w:t>Conventional static analysis has no concept of a prompt or a tool, so it cannot say whether an agent has been given a shell, or whether a web page fetched at runtime is concatenated into a system instruction. Dedicated LLM red-teaming tools exist, but they probe a running system from the outside and therefore cannot point at the line of code responsible.</w:t>
      </w:r>
    </w:p>
    <w:p>
      <w:pPr>
        <w:pStyle w:val="Heading3"/>
      </w:pPr>
      <w:r>
        <w:rPr>
          <w:b w:val="0"/>
          <w:i w:val="0"/>
        </w:rPr>
        <w:t>1.2 Aim</w:t>
      </w:r>
    </w:p>
    <w:p>
      <w:pPr>
        <w:jc w:val="both"/>
      </w:pPr>
      <w:r>
        <w:rPr>
          <w:b w:val="0"/>
          <w:i w:val="0"/>
        </w:rPr>
        <w:t>To build an auditor that reads an LLM application's source, identifies where the application meets the model, and reports security findings that a developer can act on — each tied to a specific file and line, an OWASP risk category, and where relevant a dependency that carries the risk.</w:t>
      </w:r>
    </w:p>
    <w:p>
      <w:pPr>
        <w:jc w:val="both"/>
      </w:pPr>
      <w:r>
        <w:rPr>
          <w:b w:val="0"/>
          <w:i w:val="0"/>
        </w:rPr>
        <w:t>Three constraints shape the design throughout:</w:t>
      </w:r>
    </w:p>
    <w:p>
      <w:pPr>
        <w:pStyle w:val="ListBullet"/>
      </w:pPr>
      <w:r>
        <w:rPr>
          <w:b/>
          <w:i w:val="0"/>
        </w:rPr>
        <w:t>Offline.</w:t>
      </w:r>
      <w:r>
        <w:rPr>
          <w:b w:val="0"/>
          <w:i w:val="0"/>
        </w:rPr>
        <w:t xml:space="preserve"> The auditor makes no external network calls. Source code being</w:t>
      </w:r>
    </w:p>
    <w:p>
      <w:pPr>
        <w:jc w:val="both"/>
      </w:pPr>
      <w:r>
        <w:rPr>
          <w:b w:val="0"/>
          <w:i w:val="0"/>
        </w:rPr>
        <w:t>audited is often proprietary, and sending it to a hosted model to be analysed would be an unacceptable disclosure.</w:t>
      </w:r>
    </w:p>
    <w:p>
      <w:pPr>
        <w:pStyle w:val="ListBullet"/>
      </w:pPr>
      <w:r>
        <w:rPr>
          <w:b/>
          <w:i w:val="0"/>
        </w:rPr>
        <w:t>Human-in-the-loop.</w:t>
      </w:r>
      <w:r>
        <w:rPr>
          <w:b w:val="0"/>
          <w:i w:val="0"/>
        </w:rPr>
        <w:t xml:space="preserve"> The tool reports. It never edits, patches, commits, or</w:t>
      </w:r>
    </w:p>
    <w:p>
      <w:pPr>
        <w:jc w:val="both"/>
      </w:pPr>
      <w:r>
        <w:rPr>
          <w:b w:val="0"/>
          <w:i w:val="0"/>
        </w:rPr>
        <w:t>merges the code it audits.</w:t>
      </w:r>
    </w:p>
    <w:p>
      <w:pPr>
        <w:pStyle w:val="ListBullet"/>
      </w:pPr>
      <w:r>
        <w:rPr>
          <w:b/>
          <w:i w:val="0"/>
        </w:rPr>
        <w:t>Evidence-backed.</w:t>
      </w:r>
      <w:r>
        <w:rPr>
          <w:b w:val="0"/>
          <w:i w:val="0"/>
        </w:rPr>
        <w:t xml:space="preserve"> Every finding cites a location and, where applicable, a</w:t>
      </w:r>
    </w:p>
    <w:p>
      <w:pPr>
        <w:jc w:val="both"/>
      </w:pPr>
      <w:r>
        <w:rPr>
          <w:b w:val="0"/>
          <w:i w:val="0"/>
        </w:rPr>
        <w:t>component from a bill of materials, so a reader can check it.</w:t>
      </w:r>
    </w:p>
    <w:p>
      <w:pPr>
        <w:pStyle w:val="Heading3"/>
      </w:pPr>
      <w:r>
        <w:rPr>
          <w:b w:val="0"/>
          <w:i w:val="0"/>
        </w:rPr>
        <w:t>1.3 Research questions</w:t>
      </w:r>
    </w:p>
    <w:p>
      <w:pPr>
        <w:pStyle w:val="ListBullet"/>
      </w:pPr>
      <w:r>
        <w:rPr>
          <w:b/>
          <w:i w:val="0"/>
        </w:rPr>
        <w:t>RQ1.</w:t>
      </w:r>
      <w:r>
        <w:rPr>
          <w:b w:val="0"/>
          <w:i w:val="0"/>
        </w:rPr>
        <w:t xml:space="preserve"> Can the places where an application meets a model be identified</w:t>
      </w:r>
    </w:p>
    <w:p>
      <w:pPr>
        <w:jc w:val="both"/>
      </w:pPr>
      <w:r>
        <w:rPr>
          <w:b w:val="0"/>
          <w:i w:val="0"/>
        </w:rPr>
        <w:t>reliably from source alone, across more than one language and framework?</w:t>
      </w:r>
    </w:p>
    <w:p>
      <w:pPr>
        <w:pStyle w:val="ListBullet"/>
      </w:pPr>
      <w:r>
        <w:rPr>
          <w:b/>
          <w:i w:val="0"/>
        </w:rPr>
        <w:t>RQ2.</w:t>
      </w:r>
      <w:r>
        <w:rPr>
          <w:b w:val="0"/>
          <w:i w:val="0"/>
        </w:rPr>
        <w:t xml:space="preserve"> Does combining static surface extraction with supply-chain evidence</w:t>
      </w:r>
    </w:p>
    <w:p>
      <w:pPr>
        <w:jc w:val="both"/>
      </w:pPr>
      <w:r>
        <w:rPr>
          <w:b w:val="0"/>
          <w:i w:val="0"/>
        </w:rPr>
        <w:t>and agentic probing detect issues that either approach alone misses?</w:t>
      </w:r>
    </w:p>
    <w:p>
      <w:pPr>
        <w:pStyle w:val="ListBullet"/>
      </w:pPr>
      <w:r>
        <w:rPr>
          <w:b/>
          <w:i w:val="0"/>
        </w:rPr>
        <w:t>RQ3.</w:t>
      </w:r>
      <w:r>
        <w:rPr>
          <w:b w:val="0"/>
          <w:i w:val="0"/>
        </w:rPr>
        <w:t xml:space="preserve"> How does detection quality vary across locally-runnable model</w:t>
      </w:r>
    </w:p>
    <w:p>
      <w:pPr>
        <w:jc w:val="both"/>
      </w:pPr>
      <w:r>
        <w:rPr>
          <w:b w:val="0"/>
          <w:i w:val="0"/>
        </w:rPr>
        <w:t>families?</w:t>
      </w:r>
    </w:p>
    <w:p>
      <w:pPr>
        <w:jc w:val="both"/>
      </w:pPr>
      <w:r>
        <w:rPr>
          <w:b w:val="0"/>
          <w:i w:val="0"/>
        </w:rPr>
        <w:t>RQ1 is addressed by the work reported here. RQ2 and RQ3 depend on later phases.</w:t>
      </w:r>
    </w:p>
    <w:p>
      <w:pPr>
        <w:pStyle w:val="Heading3"/>
      </w:pPr>
      <w:r>
        <w:rPr>
          <w:b w:val="0"/>
          <w:i w:val="0"/>
        </w:rPr>
        <w:t>1.4 Scope</w:t>
      </w:r>
    </w:p>
    <w:p>
      <w:pPr>
        <w:jc w:val="both"/>
      </w:pPr>
      <w:r>
        <w:rPr>
          <w:b w:val="0"/>
          <w:i w:val="0"/>
        </w:rPr>
        <w:t xml:space="preserve">Four risks from the OWASP Top 10 for LLM Applications were selected. </w:t>
      </w:r>
      <w:r>
        <w:rPr>
          <w:b/>
          <w:i w:val="0"/>
        </w:rPr>
        <w:t>The exact set is not yet signed off</w:t>
      </w:r>
      <w:r>
        <w:rPr>
          <w:b w:val="0"/>
          <w:i w:val="0"/>
        </w:rPr>
        <w:t xml:space="preserve"> and is recorded as an open decision in the project roadmap; the software currently accepts the identifiers used by the existing grading key. This is stated plainly because the chosen subset determines what the evaluation measures, and an unsigned scope is a live risk to the project.</w:t>
      </w:r>
    </w:p>
    <w:p>
      <w:r>
        <w:br w:type="page"/>
      </w:r>
    </w:p>
    <w:p>
      <w:pPr>
        <w:pStyle w:val="Heading2"/>
      </w:pPr>
      <w:r>
        <w:rPr>
          <w:b w:val="0"/>
          <w:i w:val="0"/>
        </w:rPr>
        <w:t>2. Background</w:t>
      </w:r>
    </w:p>
    <w:p>
      <w:pPr>
        <w:pStyle w:val="Heading3"/>
      </w:pPr>
      <w:r>
        <w:rPr>
          <w:b w:val="0"/>
          <w:i w:val="0"/>
        </w:rPr>
        <w:t>2.1 Where an LLM application can fail</w:t>
      </w:r>
    </w:p>
    <w:p>
      <w:pPr>
        <w:jc w:val="both"/>
      </w:pPr>
      <w:r>
        <w:rPr>
          <w:b w:val="0"/>
          <w:i w:val="0"/>
        </w:rPr>
        <w:t>Four categories are directly relevant to this work.</w:t>
      </w:r>
    </w:p>
    <w:p>
      <w:pPr>
        <w:jc w:val="both"/>
      </w:pPr>
      <w:r>
        <w:rPr>
          <w:b/>
          <w:i w:val="0"/>
        </w:rPr>
        <w:t>Prompt injection</w:t>
      </w:r>
      <w:r>
        <w:rPr>
          <w:b w:val="0"/>
          <w:i w:val="0"/>
        </w:rPr>
        <w:t xml:space="preserve"> occurs when text that the system treats as data is interpreted by the model as instruction. It is </w:t>
      </w:r>
      <w:r>
        <w:rPr>
          <w:b w:val="0"/>
          <w:i/>
        </w:rPr>
        <w:t>direct</w:t>
      </w:r>
      <w:r>
        <w:rPr>
          <w:b w:val="0"/>
          <w:i w:val="0"/>
        </w:rPr>
        <w:t xml:space="preserve"> when the attacker types it, and </w:t>
      </w:r>
      <w:r>
        <w:rPr>
          <w:b w:val="0"/>
          <w:i/>
        </w:rPr>
        <w:t>indirect</w:t>
      </w:r>
      <w:r>
        <w:rPr>
          <w:b w:val="0"/>
          <w:i w:val="0"/>
        </w:rPr>
        <w:t xml:space="preserve"> when it arrives through a document, a web page, or a database row that the application inserts into a prompt. Indirect injection is the harder case, because the untrusted text may enter far from where the prompt is built.</w:t>
      </w:r>
    </w:p>
    <w:p>
      <w:pPr>
        <w:jc w:val="both"/>
      </w:pPr>
      <w:r>
        <w:rPr>
          <w:b/>
          <w:i w:val="0"/>
        </w:rPr>
        <w:t>Excessive agency</w:t>
      </w:r>
      <w:r>
        <w:rPr>
          <w:b w:val="0"/>
          <w:i w:val="0"/>
        </w:rPr>
        <w:t xml:space="preserve"> is the risk that follows from giving a model tools. A tool that runs shell commands, executes generated code, or queries a database gives the model reach into systems the user never authorised. The severity depends not on the model but on what the tool is permitted to do.</w:t>
      </w:r>
    </w:p>
    <w:p>
      <w:pPr>
        <w:jc w:val="both"/>
      </w:pPr>
      <w:r>
        <w:rPr>
          <w:b/>
          <w:i w:val="0"/>
        </w:rPr>
        <w:t>Supply chain</w:t>
      </w:r>
      <w:r>
        <w:rPr>
          <w:b w:val="0"/>
          <w:i w:val="0"/>
        </w:rPr>
        <w:t xml:space="preserve"> risk arises because LLM applications lean on fast-moving frameworks. A dependency can introduce a code-executing chain into an application whose own source contains nothing dangerous.</w:t>
      </w:r>
    </w:p>
    <w:p>
      <w:pPr>
        <w:jc w:val="both"/>
      </w:pPr>
      <w:r>
        <w:rPr>
          <w:b/>
          <w:i w:val="0"/>
        </w:rPr>
        <w:t>Inadequate auditability</w:t>
      </w:r>
      <w:r>
        <w:rPr>
          <w:b w:val="0"/>
          <w:i w:val="0"/>
        </w:rPr>
        <w:t xml:space="preserve"> is not a standard OWASP entry but is included deliberately. When an agent chooses and invokes tools autonomously, the absence of a durable record of what it did makes an incident impossible to reconstruct.</w:t>
      </w:r>
    </w:p>
    <w:p>
      <w:pPr>
        <w:pStyle w:val="Heading3"/>
      </w:pPr>
      <w:r>
        <w:rPr>
          <w:b w:val="0"/>
          <w:i w:val="0"/>
        </w:rPr>
        <w:t>2.2 Bills of materials</w:t>
      </w:r>
    </w:p>
    <w:p>
      <w:pPr>
        <w:jc w:val="both"/>
      </w:pPr>
      <w:r>
        <w:rPr>
          <w:b w:val="0"/>
          <w:i w:val="0"/>
        </w:rPr>
        <w:t xml:space="preserve">A </w:t>
      </w:r>
      <w:r>
        <w:rPr>
          <w:b/>
          <w:i w:val="0"/>
        </w:rPr>
        <w:t>Software Bill of Materials (SBOM)</w:t>
      </w:r>
      <w:r>
        <w:rPr>
          <w:b w:val="0"/>
          <w:i w:val="0"/>
        </w:rPr>
        <w:t xml:space="preserve"> is a machine-readable inventory of a project's components, in a standard format such as CycloneDX or SPDX. An</w:t>
      </w:r>
    </w:p>
    <w:p>
      <w:pPr>
        <w:jc w:val="both"/>
      </w:pPr>
      <w:r>
        <w:rPr>
          <w:b/>
          <w:i w:val="0"/>
        </w:rPr>
        <w:t>AI Bill of Materials (AIBOM)</w:t>
      </w:r>
      <w:r>
        <w:rPr>
          <w:b w:val="0"/>
          <w:i w:val="0"/>
        </w:rPr>
        <w:t xml:space="preserve"> extends the idea to models, datasets, tools, and agents. The value here is joining the two: knowing that an application constructs a code-executing chain matters more when the specific package providing it can be named and versioned.</w:t>
      </w:r>
    </w:p>
    <w:p>
      <w:r>
        <w:br w:type="page"/>
      </w:r>
    </w:p>
    <w:p>
      <w:pPr>
        <w:pStyle w:val="Heading2"/>
      </w:pPr>
      <w:r>
        <w:rPr>
          <w:b w:val="0"/>
          <w:i w:val="0"/>
        </w:rPr>
        <w:t>3. Related work</w:t>
      </w:r>
    </w:p>
    <w:p>
      <w:pPr>
        <w:jc w:val="both"/>
      </w:pPr>
      <w:r>
        <w:rPr>
          <w:b/>
          <w:i w:val="0"/>
        </w:rPr>
        <w:t>Planned.</w:t>
      </w:r>
      <w:r>
        <w:rPr>
          <w:b w:val="0"/>
          <w:i w:val="0"/>
        </w:rPr>
        <w:t xml:space="preserve"> A structured review of the competitive landscape — including Garak and PyRIT for LLM red-teaming, and Syft and Trivy for SBOM generation — is scheduled as a cross-cutting task and has not yet been carried out. It is listed as outstanding rather than summarised here, because a literature review that has not been done should not be presented as though it has.</w:t>
      </w:r>
    </w:p>
    <w:p>
      <w:pPr>
        <w:jc w:val="both"/>
      </w:pPr>
      <w:r>
        <w:rPr>
          <w:b w:val="0"/>
          <w:i w:val="0"/>
        </w:rPr>
        <w:t>What can be stated from the design so far is the intended distinction: existing red-teaming tools probe a deployed system and report behaviour, whereas this work analyses source and reports locations. The contribution claimed is the join between the two, not either in isolation.</w:t>
      </w:r>
    </w:p>
    <w:p>
      <w:r>
        <w:br w:type="page"/>
      </w:r>
    </w:p>
    <w:p>
      <w:pPr>
        <w:pStyle w:val="Heading2"/>
      </w:pPr>
      <w:r>
        <w:rPr>
          <w:b w:val="0"/>
          <w:i w:val="0"/>
        </w:rPr>
        <w:t>4. Design</w:t>
      </w:r>
    </w:p>
    <w:p>
      <w:pPr>
        <w:pStyle w:val="Heading3"/>
      </w:pPr>
      <w:r>
        <w:rPr>
          <w:b w:val="0"/>
          <w:i w:val="0"/>
        </w:rPr>
        <w:t>4.1 Phases and artifacts</w:t>
      </w:r>
    </w:p>
    <w:p>
      <w:pPr>
        <w:jc w:val="both"/>
      </w:pPr>
      <w:r>
        <w:rPr>
          <w:b w:val="0"/>
          <w:i w:val="0"/>
        </w:rPr>
        <w:t>The system is built in four phases, each producing JSON that the next consumes. Treating those files as contracts is what allows the phases to be developed and tested separately.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i w:val="0"/>
              </w:rPr>
              <w:t>Phase</w:t>
            </w:r>
          </w:p>
        </w:tc>
        <w:tc>
          <w:tcPr>
            <w:tcW w:type="dxa" w:w="2880"/>
          </w:tcPr>
          <w:p>
            <w:r/>
            <w:r>
              <w:rPr>
                <w:b/>
                <w:i w:val="0"/>
              </w:rPr>
              <w:t>Produces</w:t>
            </w:r>
          </w:p>
        </w:tc>
        <w:tc>
          <w:tcPr>
            <w:tcW w:type="dxa" w:w="2880"/>
          </w:tcPr>
          <w:p>
            <w:r/>
            <w:r>
              <w:rPr>
                <w:b/>
                <w:i w:val="0"/>
              </w:rPr>
              <w:t>Status</w:t>
            </w:r>
          </w:p>
        </w:tc>
      </w:tr>
      <w:tr>
        <w:tc>
          <w:tcPr>
            <w:tcW w:type="dxa" w:w="2880"/>
          </w:tcPr>
          <w:p>
            <w:r/>
            <w:r>
              <w:rPr>
                <w:b w:val="0"/>
                <w:i w:val="0"/>
              </w:rPr>
              <w:t>1. LLM surface extraction</w:t>
            </w:r>
          </w:p>
        </w:tc>
        <w:tc>
          <w:tcPr>
            <w:tcW w:type="dxa" w:w="2880"/>
          </w:tcPr>
          <w:p>
            <w:r/>
            <w:r>
              <w:rPr>
                <w:rFonts w:ascii="Consolas" w:hAnsi="Consolas"/>
                <w:b w:val="0"/>
                <w:i w:val="0"/>
                <w:sz w:val="19"/>
              </w:rPr>
              <w:t>surfaces.json</w:t>
            </w:r>
          </w:p>
        </w:tc>
        <w:tc>
          <w:tcPr>
            <w:tcW w:type="dxa" w:w="2880"/>
          </w:tcPr>
          <w:p>
            <w:r/>
            <w:r>
              <w:rPr>
                <w:b/>
                <w:i w:val="0"/>
              </w:rPr>
              <w:t>Complete</w:t>
            </w:r>
          </w:p>
        </w:tc>
      </w:tr>
      <w:tr>
        <w:tc>
          <w:tcPr>
            <w:tcW w:type="dxa" w:w="2880"/>
          </w:tcPr>
          <w:p>
            <w:r/>
            <w:r>
              <w:rPr>
                <w:b w:val="0"/>
                <w:i w:val="0"/>
              </w:rPr>
              <w:t>2. SBOM/AIBOM and mapping</w:t>
            </w:r>
          </w:p>
        </w:tc>
        <w:tc>
          <w:tcPr>
            <w:tcW w:type="dxa" w:w="2880"/>
          </w:tcPr>
          <w:p>
            <w:r/>
            <w:r>
              <w:rPr>
                <w:rFonts w:ascii="Consolas" w:hAnsi="Consolas"/>
                <w:b w:val="0"/>
                <w:i w:val="0"/>
                <w:sz w:val="19"/>
              </w:rPr>
              <w:t>sbom.json</w:t>
            </w:r>
            <w:r>
              <w:rPr>
                <w:b w:val="0"/>
                <w:i w:val="0"/>
              </w:rPr>
              <w:t xml:space="preserve">, </w:t>
            </w:r>
            <w:r>
              <w:rPr>
                <w:rFonts w:ascii="Consolas" w:hAnsi="Consolas"/>
                <w:b w:val="0"/>
                <w:i w:val="0"/>
                <w:sz w:val="19"/>
              </w:rPr>
              <w:t>aibom.json</w:t>
            </w:r>
            <w:r>
              <w:rPr>
                <w:b w:val="0"/>
                <w:i w:val="0"/>
              </w:rPr>
              <w:t xml:space="preserve">, </w:t>
            </w:r>
            <w:r>
              <w:rPr>
                <w:rFonts w:ascii="Consolas" w:hAnsi="Consolas"/>
                <w:b w:val="0"/>
                <w:i w:val="0"/>
                <w:sz w:val="19"/>
              </w:rPr>
              <w:t>mapping.json</w:t>
            </w:r>
          </w:p>
        </w:tc>
        <w:tc>
          <w:tcPr>
            <w:tcW w:type="dxa" w:w="2880"/>
          </w:tcPr>
          <w:p>
            <w:r/>
            <w:r>
              <w:rPr>
                <w:b w:val="0"/>
                <w:i w:val="0"/>
              </w:rPr>
              <w:t>Planned</w:t>
            </w:r>
          </w:p>
        </w:tc>
      </w:tr>
      <w:tr>
        <w:tc>
          <w:tcPr>
            <w:tcW w:type="dxa" w:w="2880"/>
          </w:tcPr>
          <w:p>
            <w:r/>
            <w:r>
              <w:rPr>
                <w:b w:val="0"/>
                <w:i w:val="0"/>
              </w:rPr>
              <w:t>3. Agentic auditor and probes</w:t>
            </w:r>
          </w:p>
        </w:tc>
        <w:tc>
          <w:tcPr>
            <w:tcW w:type="dxa" w:w="2880"/>
          </w:tcPr>
          <w:p>
            <w:r/>
            <w:r>
              <w:rPr>
                <w:rFonts w:ascii="Consolas" w:hAnsi="Consolas"/>
                <w:b w:val="0"/>
                <w:i w:val="0"/>
                <w:sz w:val="19"/>
              </w:rPr>
              <w:t>findings.json</w:t>
            </w:r>
          </w:p>
        </w:tc>
        <w:tc>
          <w:tcPr>
            <w:tcW w:type="dxa" w:w="2880"/>
          </w:tcPr>
          <w:p>
            <w:r/>
            <w:r>
              <w:rPr>
                <w:b w:val="0"/>
                <w:i w:val="0"/>
              </w:rPr>
              <w:t>Planned</w:t>
            </w:r>
          </w:p>
        </w:tc>
      </w:tr>
      <w:tr>
        <w:tc>
          <w:tcPr>
            <w:tcW w:type="dxa" w:w="2880"/>
          </w:tcPr>
          <w:p>
            <w:r/>
            <w:r>
              <w:rPr>
                <w:b w:val="0"/>
                <w:i w:val="0"/>
              </w:rPr>
              <w:t>4. Evaluation and write-up</w:t>
            </w:r>
          </w:p>
        </w:tc>
        <w:tc>
          <w:tcPr>
            <w:tcW w:type="dxa" w:w="2880"/>
          </w:tcPr>
          <w:p>
            <w:r/>
            <w:r>
              <w:rPr>
                <w:b w:val="0"/>
                <w:i w:val="0"/>
              </w:rPr>
              <w:t>precision / recall / F1</w:t>
            </w:r>
          </w:p>
        </w:tc>
        <w:tc>
          <w:tcPr>
            <w:tcW w:type="dxa" w:w="2880"/>
          </w:tcPr>
          <w:p>
            <w:r/>
            <w:r>
              <w:rPr>
                <w:b w:val="0"/>
                <w:i w:val="0"/>
              </w:rPr>
              <w:t>Planned</w:t>
            </w:r>
          </w:p>
        </w:tc>
      </w:tr>
    </w:tbl>
    <w:p/>
    <w:p>
      <w:pPr>
        <w:pStyle w:val="Heading3"/>
      </w:pPr>
      <w:r>
        <w:rPr>
          <w:b w:val="0"/>
          <w:i w:val="0"/>
        </w:rPr>
        <w:t>4.2 What counts as an LLM surface</w:t>
      </w:r>
    </w:p>
    <w:p>
      <w:pPr>
        <w:jc w:val="both"/>
      </w:pPr>
      <w:r>
        <w:rPr>
          <w:b w:val="0"/>
          <w:i w:val="0"/>
        </w:rPr>
        <w:t>Phase 1 defines four kinds, chosen so that together they cover the boundary between application and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i w:val="0"/>
              </w:rPr>
              <w:t>Kind</w:t>
            </w:r>
          </w:p>
        </w:tc>
        <w:tc>
          <w:tcPr>
            <w:tcW w:type="dxa" w:w="2880"/>
          </w:tcPr>
          <w:p>
            <w:r/>
            <w:r>
              <w:rPr>
                <w:b/>
                <w:i w:val="0"/>
              </w:rPr>
              <w:t>What it is</w:t>
            </w:r>
          </w:p>
        </w:tc>
        <w:tc>
          <w:tcPr>
            <w:tcW w:type="dxa" w:w="2880"/>
          </w:tcPr>
          <w:p>
            <w:r/>
            <w:r>
              <w:rPr>
                <w:b/>
                <w:i w:val="0"/>
              </w:rPr>
              <w:t>Example</w:t>
            </w:r>
          </w:p>
        </w:tc>
      </w:tr>
      <w:tr>
        <w:tc>
          <w:tcPr>
            <w:tcW w:type="dxa" w:w="2880"/>
          </w:tcPr>
          <w:p>
            <w:r/>
            <w:r>
              <w:rPr>
                <w:rFonts w:ascii="Consolas" w:hAnsi="Consolas"/>
                <w:b w:val="0"/>
                <w:i w:val="0"/>
                <w:sz w:val="19"/>
              </w:rPr>
              <w:t>PROMPT_TEMPLATE</w:t>
            </w:r>
          </w:p>
        </w:tc>
        <w:tc>
          <w:tcPr>
            <w:tcW w:type="dxa" w:w="2880"/>
          </w:tcPr>
          <w:p>
            <w:r/>
            <w:r>
              <w:rPr>
                <w:b w:val="0"/>
                <w:i w:val="0"/>
              </w:rPr>
              <w:t>text the application sends as instruction</w:t>
            </w:r>
          </w:p>
        </w:tc>
        <w:tc>
          <w:tcPr>
            <w:tcW w:type="dxa" w:w="2880"/>
          </w:tcPr>
          <w:p>
            <w:r/>
            <w:r>
              <w:rPr>
                <w:b w:val="0"/>
                <w:i w:val="0"/>
              </w:rPr>
              <w:t>a system prompt assigned to a variable</w:t>
            </w:r>
          </w:p>
        </w:tc>
      </w:tr>
      <w:tr>
        <w:tc>
          <w:tcPr>
            <w:tcW w:type="dxa" w:w="2880"/>
          </w:tcPr>
          <w:p>
            <w:r/>
            <w:r>
              <w:rPr>
                <w:rFonts w:ascii="Consolas" w:hAnsi="Consolas"/>
                <w:b w:val="0"/>
                <w:i w:val="0"/>
                <w:sz w:val="19"/>
              </w:rPr>
              <w:t>AGENT_DEF</w:t>
            </w:r>
          </w:p>
        </w:tc>
        <w:tc>
          <w:tcPr>
            <w:tcW w:type="dxa" w:w="2880"/>
          </w:tcPr>
          <w:p>
            <w:r/>
            <w:r>
              <w:rPr>
                <w:b w:val="0"/>
                <w:i w:val="0"/>
              </w:rPr>
              <w:t>an agent, chain, or model client being constructed</w:t>
            </w:r>
          </w:p>
        </w:tc>
        <w:tc>
          <w:tcPr>
            <w:tcW w:type="dxa" w:w="2880"/>
          </w:tcPr>
          <w:p>
            <w:r/>
            <w:r>
              <w:rPr>
                <w:rFonts w:ascii="Consolas" w:hAnsi="Consolas"/>
                <w:b w:val="0"/>
                <w:i w:val="0"/>
                <w:sz w:val="19"/>
              </w:rPr>
              <w:t>AgentExecutor.from_agent_and_tools(...)</w:t>
            </w:r>
          </w:p>
        </w:tc>
      </w:tr>
      <w:tr>
        <w:tc>
          <w:tcPr>
            <w:tcW w:type="dxa" w:w="2880"/>
          </w:tcPr>
          <w:p>
            <w:r/>
            <w:r>
              <w:rPr>
                <w:rFonts w:ascii="Consolas" w:hAnsi="Consolas"/>
                <w:b w:val="0"/>
                <w:i w:val="0"/>
                <w:sz w:val="19"/>
              </w:rPr>
              <w:t>TOOL_CALL</w:t>
            </w:r>
          </w:p>
        </w:tc>
        <w:tc>
          <w:tcPr>
            <w:tcW w:type="dxa" w:w="2880"/>
          </w:tcPr>
          <w:p>
            <w:r/>
            <w:r>
              <w:rPr>
                <w:b w:val="0"/>
                <w:i w:val="0"/>
              </w:rPr>
              <w:t>a capability exposed to the model</w:t>
            </w:r>
          </w:p>
        </w:tc>
        <w:tc>
          <w:tcPr>
            <w:tcW w:type="dxa" w:w="2880"/>
          </w:tcPr>
          <w:p>
            <w:r/>
            <w:r>
              <w:rPr>
                <w:rFonts w:ascii="Consolas" w:hAnsi="Consolas"/>
                <w:b w:val="0"/>
                <w:i w:val="0"/>
                <w:sz w:val="19"/>
              </w:rPr>
              <w:t>Tool(name='GetUserTransactions', ...)</w:t>
            </w:r>
          </w:p>
        </w:tc>
      </w:tr>
      <w:tr>
        <w:tc>
          <w:tcPr>
            <w:tcW w:type="dxa" w:w="2880"/>
          </w:tcPr>
          <w:p>
            <w:r/>
            <w:r>
              <w:rPr>
                <w:rFonts w:ascii="Consolas" w:hAnsi="Consolas"/>
                <w:b w:val="0"/>
                <w:i w:val="0"/>
                <w:sz w:val="19"/>
              </w:rPr>
              <w:t>DATA_SOURCE</w:t>
            </w:r>
          </w:p>
        </w:tc>
        <w:tc>
          <w:tcPr>
            <w:tcW w:type="dxa" w:w="2880"/>
          </w:tcPr>
          <w:p>
            <w:r/>
            <w:r>
              <w:rPr>
                <w:b w:val="0"/>
                <w:i w:val="0"/>
              </w:rPr>
              <w:t>a point where outside data enters</w:t>
            </w:r>
          </w:p>
        </w:tc>
        <w:tc>
          <w:tcPr>
            <w:tcW w:type="dxa" w:w="2880"/>
          </w:tcPr>
          <w:p>
            <w:r/>
            <w:r>
              <w:rPr>
                <w:b w:val="0"/>
                <w:i w:val="0"/>
              </w:rPr>
              <w:t>a chat input, a file read, a database query</w:t>
            </w:r>
          </w:p>
        </w:tc>
      </w:tr>
    </w:tbl>
    <w:p/>
    <w:p>
      <w:pPr>
        <w:jc w:val="both"/>
      </w:pPr>
      <w:r>
        <w:rPr>
          <w:b w:val="0"/>
          <w:i w:val="0"/>
        </w:rPr>
        <w:t xml:space="preserve">Phase 1 records </w:t>
      </w:r>
      <w:r>
        <w:rPr>
          <w:b/>
          <w:i w:val="0"/>
        </w:rPr>
        <w:t>where</w:t>
      </w:r>
      <w:r>
        <w:rPr>
          <w:b w:val="0"/>
          <w:i w:val="0"/>
        </w:rPr>
        <w:t xml:space="preserve"> untrusted data enters. It deliberately does not trace whether that data reaches a prompt or a tool: following the flow is taint analysis, which is a Phase 3 probe. Keeping the boundary sharp means Phase 1 remains fully deterministic.</w:t>
      </w:r>
    </w:p>
    <w:p>
      <w:pPr>
        <w:pStyle w:val="Heading3"/>
      </w:pPr>
      <w:r>
        <w:rPr>
          <w:b w:val="0"/>
          <w:i w:val="0"/>
        </w:rPr>
        <w:t>4.3 The surface record</w:t>
      </w:r>
    </w:p>
    <w:p>
      <w:pPr>
        <w:jc w:val="both"/>
      </w:pPr>
      <w:r>
        <w:rPr>
          <w:b w:val="0"/>
          <w:i w:val="0"/>
        </w:rPr>
        <w:t xml:space="preserve">Each surface is one record in </w:t>
      </w:r>
      <w:r>
        <w:rPr>
          <w:rFonts w:ascii="Consolas" w:hAnsi="Consolas"/>
          <w:b w:val="0"/>
          <w:i w:val="0"/>
          <w:sz w:val="19"/>
        </w:rPr>
        <w:t>artifacts/&lt;app&gt;/surfaces.json</w:t>
      </w:r>
      <w:r>
        <w:rPr>
          <w:b w:val="0"/>
          <w:i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i w:val="0"/>
              </w:rPr>
              <w:t>Field</w:t>
            </w:r>
          </w:p>
        </w:tc>
        <w:tc>
          <w:tcPr>
            <w:tcW w:type="dxa" w:w="4320"/>
          </w:tcPr>
          <w:p>
            <w:r/>
            <w:r>
              <w:rPr>
                <w:b/>
                <w:i w:val="0"/>
              </w:rPr>
              <w:t>Meaning</w:t>
            </w:r>
          </w:p>
        </w:tc>
      </w:tr>
      <w:tr>
        <w:tc>
          <w:tcPr>
            <w:tcW w:type="dxa" w:w="4320"/>
          </w:tcPr>
          <w:p>
            <w:r/>
            <w:r>
              <w:rPr>
                <w:rFonts w:ascii="Consolas" w:hAnsi="Consolas"/>
                <w:b w:val="0"/>
                <w:i w:val="0"/>
                <w:sz w:val="19"/>
              </w:rPr>
              <w:t>id</w:t>
            </w:r>
          </w:p>
        </w:tc>
        <w:tc>
          <w:tcPr>
            <w:tcW w:type="dxa" w:w="4320"/>
          </w:tcPr>
          <w:p>
            <w:r/>
            <w:r>
              <w:rPr>
                <w:rFonts w:ascii="Consolas" w:hAnsi="Consolas"/>
                <w:b w:val="0"/>
                <w:i w:val="0"/>
                <w:sz w:val="19"/>
              </w:rPr>
              <w:t>file:line:kind:name</w:t>
            </w:r>
            <w:r>
              <w:rPr>
                <w:b w:val="0"/>
                <w:i w:val="0"/>
              </w:rPr>
              <w:t xml:space="preserve"> — a stable handle for later phases to reference</w:t>
            </w:r>
          </w:p>
        </w:tc>
      </w:tr>
      <w:tr>
        <w:tc>
          <w:tcPr>
            <w:tcW w:type="dxa" w:w="4320"/>
          </w:tcPr>
          <w:p>
            <w:r/>
            <w:r>
              <w:rPr>
                <w:rFonts w:ascii="Consolas" w:hAnsi="Consolas"/>
                <w:b w:val="0"/>
                <w:i w:val="0"/>
                <w:sz w:val="19"/>
              </w:rPr>
              <w:t>kind</w:t>
            </w:r>
          </w:p>
        </w:tc>
        <w:tc>
          <w:tcPr>
            <w:tcW w:type="dxa" w:w="4320"/>
          </w:tcPr>
          <w:p>
            <w:r/>
            <w:r>
              <w:rPr>
                <w:b w:val="0"/>
                <w:i w:val="0"/>
              </w:rPr>
              <w:t>one of the four above</w:t>
            </w:r>
          </w:p>
        </w:tc>
      </w:tr>
      <w:tr>
        <w:tc>
          <w:tcPr>
            <w:tcW w:type="dxa" w:w="4320"/>
          </w:tcPr>
          <w:p>
            <w:r/>
            <w:r>
              <w:rPr>
                <w:rFonts w:ascii="Consolas" w:hAnsi="Consolas"/>
                <w:b w:val="0"/>
                <w:i w:val="0"/>
                <w:sz w:val="19"/>
              </w:rPr>
              <w:t>name</w:t>
            </w:r>
          </w:p>
        </w:tc>
        <w:tc>
          <w:tcPr>
            <w:tcW w:type="dxa" w:w="4320"/>
          </w:tcPr>
          <w:p>
            <w:r/>
            <w:r>
              <w:rPr>
                <w:b w:val="0"/>
                <w:i w:val="0"/>
              </w:rPr>
              <w:t>the symbol, tool, or agent name taken from the syntax tree</w:t>
            </w:r>
          </w:p>
        </w:tc>
      </w:tr>
      <w:tr>
        <w:tc>
          <w:tcPr>
            <w:tcW w:type="dxa" w:w="4320"/>
          </w:tcPr>
          <w:p>
            <w:r/>
            <w:r>
              <w:rPr>
                <w:rFonts w:ascii="Consolas" w:hAnsi="Consolas"/>
                <w:b w:val="0"/>
                <w:i w:val="0"/>
                <w:sz w:val="19"/>
              </w:rPr>
              <w:t>file</w:t>
            </w:r>
          </w:p>
        </w:tc>
        <w:tc>
          <w:tcPr>
            <w:tcW w:type="dxa" w:w="4320"/>
          </w:tcPr>
          <w:p>
            <w:r/>
            <w:r>
              <w:rPr>
                <w:b w:val="0"/>
                <w:i w:val="0"/>
              </w:rPr>
              <w:t>repository-relative POSIX path</w:t>
            </w:r>
          </w:p>
        </w:tc>
      </w:tr>
      <w:tr>
        <w:tc>
          <w:tcPr>
            <w:tcW w:type="dxa" w:w="4320"/>
          </w:tcPr>
          <w:p>
            <w:r/>
            <w:r>
              <w:rPr>
                <w:rFonts w:ascii="Consolas" w:hAnsi="Consolas"/>
                <w:b w:val="0"/>
                <w:i w:val="0"/>
                <w:sz w:val="19"/>
              </w:rPr>
              <w:t>line</w:t>
            </w:r>
          </w:p>
        </w:tc>
        <w:tc>
          <w:tcPr>
            <w:tcW w:type="dxa" w:w="4320"/>
          </w:tcPr>
          <w:p>
            <w:r/>
            <w:r>
              <w:rPr>
                <w:b w:val="0"/>
                <w:i w:val="0"/>
              </w:rPr>
              <w:t>the line the construct starts on</w:t>
            </w:r>
          </w:p>
        </w:tc>
      </w:tr>
      <w:tr>
        <w:tc>
          <w:tcPr>
            <w:tcW w:type="dxa" w:w="4320"/>
          </w:tcPr>
          <w:p>
            <w:r/>
            <w:r>
              <w:rPr>
                <w:rFonts w:ascii="Consolas" w:hAnsi="Consolas"/>
                <w:b w:val="0"/>
                <w:i w:val="0"/>
                <w:sz w:val="19"/>
              </w:rPr>
              <w:t>language</w:t>
            </w:r>
          </w:p>
        </w:tc>
        <w:tc>
          <w:tcPr>
            <w:tcW w:type="dxa" w:w="4320"/>
          </w:tcPr>
          <w:p>
            <w:r/>
            <w:r>
              <w:rPr>
                <w:rFonts w:ascii="Consolas" w:hAnsi="Consolas"/>
                <w:b w:val="0"/>
                <w:i w:val="0"/>
                <w:sz w:val="19"/>
              </w:rPr>
              <w:t>python</w:t>
            </w:r>
            <w:r>
              <w:rPr>
                <w:b w:val="0"/>
                <w:i w:val="0"/>
              </w:rPr>
              <w:t xml:space="preserve">, </w:t>
            </w:r>
            <w:r>
              <w:rPr>
                <w:rFonts w:ascii="Consolas" w:hAnsi="Consolas"/>
                <w:b w:val="0"/>
                <w:i w:val="0"/>
                <w:sz w:val="19"/>
              </w:rPr>
              <w:t>javascript</w:t>
            </w:r>
            <w:r>
              <w:rPr>
                <w:b w:val="0"/>
                <w:i w:val="0"/>
              </w:rPr>
              <w:t xml:space="preserve">, or </w:t>
            </w:r>
            <w:r>
              <w:rPr>
                <w:rFonts w:ascii="Consolas" w:hAnsi="Consolas"/>
                <w:b w:val="0"/>
                <w:i w:val="0"/>
                <w:sz w:val="19"/>
              </w:rPr>
              <w:t>typescript</w:t>
            </w:r>
          </w:p>
        </w:tc>
      </w:tr>
      <w:tr>
        <w:tc>
          <w:tcPr>
            <w:tcW w:type="dxa" w:w="4320"/>
          </w:tcPr>
          <w:p>
            <w:r/>
            <w:r>
              <w:rPr>
                <w:rFonts w:ascii="Consolas" w:hAnsi="Consolas"/>
                <w:b w:val="0"/>
                <w:i w:val="0"/>
                <w:sz w:val="19"/>
              </w:rPr>
              <w:t>module</w:t>
            </w:r>
          </w:p>
        </w:tc>
        <w:tc>
          <w:tcPr>
            <w:tcW w:type="dxa" w:w="4320"/>
          </w:tcPr>
          <w:p>
            <w:r/>
            <w:r>
              <w:rPr>
                <w:b w:val="0"/>
                <w:i w:val="0"/>
              </w:rPr>
              <w:t>the import specifier the construct came from</w:t>
            </w:r>
          </w:p>
        </w:tc>
      </w:tr>
      <w:tr>
        <w:tc>
          <w:tcPr>
            <w:tcW w:type="dxa" w:w="4320"/>
          </w:tcPr>
          <w:p>
            <w:r/>
            <w:r>
              <w:rPr>
                <w:rFonts w:ascii="Consolas" w:hAnsi="Consolas"/>
                <w:b w:val="0"/>
                <w:i w:val="0"/>
                <w:sz w:val="19"/>
              </w:rPr>
              <w:t>detail</w:t>
            </w:r>
          </w:p>
        </w:tc>
        <w:tc>
          <w:tcPr>
            <w:tcW w:type="dxa" w:w="4320"/>
          </w:tcPr>
          <w:p>
            <w:r/>
            <w:r>
              <w:rPr>
                <w:b w:val="0"/>
                <w:i w:val="0"/>
              </w:rPr>
              <w:t>a short human-readable note</w:t>
            </w:r>
          </w:p>
        </w:tc>
      </w:tr>
    </w:tbl>
    <w:p/>
    <w:p>
      <w:pPr>
        <w:jc w:val="both"/>
      </w:pPr>
      <w:r>
        <w:rPr>
          <w:b w:val="0"/>
          <w:i w:val="0"/>
        </w:rPr>
        <w:t>Two design decisions in that table are worth explaining.</w:t>
      </w:r>
    </w:p>
    <w:p>
      <w:pPr>
        <w:jc w:val="both"/>
      </w:pPr>
      <w:r>
        <w:rPr>
          <w:b w:val="0"/>
          <w:i w:val="0"/>
        </w:rPr>
        <w:t xml:space="preserve">The </w:t>
      </w:r>
      <w:r>
        <w:rPr>
          <w:rFonts w:ascii="Consolas" w:hAnsi="Consolas"/>
          <w:b w:val="0"/>
          <w:i w:val="0"/>
          <w:sz w:val="19"/>
        </w:rPr>
        <w:t>id</w:t>
      </w:r>
      <w:r>
        <w:rPr>
          <w:b w:val="0"/>
          <w:i w:val="0"/>
        </w:rPr>
        <w:t xml:space="preserve"> is derived from the surface's own content, never from its position in a list. An index-based identifier would renumber every surface the moment a detector was added, silently invalidating any Phase 2 mapping that referenced it.</w:t>
      </w:r>
    </w:p>
    <w:p>
      <w:pPr>
        <w:jc w:val="both"/>
      </w:pPr>
      <w:r>
        <w:rPr>
          <w:b w:val="0"/>
          <w:i w:val="0"/>
        </w:rPr>
        <w:t xml:space="preserve">The </w:t>
      </w:r>
      <w:r>
        <w:rPr>
          <w:rFonts w:ascii="Consolas" w:hAnsi="Consolas"/>
          <w:b w:val="0"/>
          <w:i w:val="0"/>
          <w:sz w:val="19"/>
        </w:rPr>
        <w:t>module</w:t>
      </w:r>
      <w:r>
        <w:rPr>
          <w:b w:val="0"/>
          <w:i w:val="0"/>
        </w:rPr>
        <w:t xml:space="preserve"> field stores the import specifier </w:t>
      </w:r>
      <w:r>
        <w:rPr>
          <w:b/>
          <w:i w:val="0"/>
        </w:rPr>
        <w:t>exactly as the source wrote it</w:t>
      </w:r>
      <w:r>
        <w:rPr>
          <w:b w:val="0"/>
          <w:i w:val="0"/>
        </w:rPr>
        <w:t xml:space="preserve"> — </w:t>
      </w:r>
      <w:r>
        <w:rPr>
          <w:rFonts w:ascii="Consolas" w:hAnsi="Consolas"/>
          <w:b w:val="0"/>
          <w:i w:val="0"/>
          <w:sz w:val="19"/>
        </w:rPr>
        <w:t>langchain_experimental.sql</w:t>
      </w:r>
      <w:r>
        <w:rPr>
          <w:b w:val="0"/>
          <w:i w:val="0"/>
        </w:rPr>
        <w:t xml:space="preserve"> in Python, </w:t>
      </w:r>
      <w:r>
        <w:rPr>
          <w:rFonts w:ascii="Consolas" w:hAnsi="Consolas"/>
          <w:b w:val="0"/>
          <w:i w:val="0"/>
          <w:sz w:val="19"/>
        </w:rPr>
        <w:t>@langchain/langgraph/prebuilt</w:t>
      </w:r>
      <w:r>
        <w:rPr>
          <w:b w:val="0"/>
          <w:i w:val="0"/>
        </w:rPr>
        <w:t xml:space="preserve"> in TypeScript. It is the key by which Phase 2 will join a surface to an SBOM component. It is not normalised to a package name in Phase 1, because the submodule is itself a risk signal: </w:t>
      </w:r>
      <w:r>
        <w:rPr>
          <w:rFonts w:ascii="Consolas" w:hAnsi="Consolas"/>
          <w:b w:val="0"/>
          <w:i w:val="0"/>
          <w:sz w:val="19"/>
        </w:rPr>
        <w:t>langchain_experimental.sql</w:t>
      </w:r>
      <w:r>
        <w:rPr>
          <w:b w:val="0"/>
          <w:i w:val="0"/>
        </w:rPr>
        <w:t xml:space="preserve"> is the dangerous import, </w:t>
      </w:r>
      <w:r>
        <w:rPr>
          <w:rFonts w:ascii="Consolas" w:hAnsi="Consolas"/>
          <w:b w:val="0"/>
          <w:i w:val="0"/>
          <w:sz w:val="19"/>
        </w:rPr>
        <w:t>langchain</w:t>
      </w:r>
      <w:r>
        <w:rPr>
          <w:b w:val="0"/>
          <w:i w:val="0"/>
        </w:rPr>
        <w:t xml:space="preserve"> is not.</w:t>
      </w:r>
    </w:p>
    <w:p>
      <w:pPr>
        <w:pStyle w:val="Heading3"/>
      </w:pPr>
      <w:r>
        <w:rPr>
          <w:b w:val="0"/>
          <w:i w:val="0"/>
        </w:rPr>
        <w:t>4.4 Determinism</w:t>
      </w:r>
    </w:p>
    <w:p>
      <w:pPr>
        <w:jc w:val="both"/>
      </w:pPr>
      <w:r>
        <w:rPr>
          <w:b w:val="0"/>
          <w:i w:val="0"/>
        </w:rPr>
        <w:t>The same repository must always produce byte-identical output. Records are sorted, keys are sorted, paths are repository-relative POSIX, and no timestamp or absolute path is written. Without this, an examiner re-running the tool on a different machine would get a different file, and the evaluation could not be reproduced.</w:t>
      </w:r>
    </w:p>
    <w:p>
      <w:r>
        <w:br w:type="page"/>
      </w:r>
    </w:p>
    <w:p>
      <w:pPr>
        <w:pStyle w:val="Heading2"/>
      </w:pPr>
      <w:r>
        <w:rPr>
          <w:b w:val="0"/>
          <w:i w:val="0"/>
        </w:rPr>
        <w:t>5. Implementation</w:t>
      </w:r>
    </w:p>
    <w:p>
      <w:pPr>
        <w:pStyle w:val="Heading3"/>
      </w:pPr>
      <w:r>
        <w:rPr>
          <w:b w:val="0"/>
          <w:i w:val="0"/>
        </w:rPr>
        <w:t>5.1 Structure</w:t>
      </w:r>
    </w:p>
    <w:p>
      <w:pPr>
        <w:jc w:val="both"/>
      </w:pPr>
      <w:r>
        <w:rPr>
          <w:b w:val="0"/>
          <w:i w:val="0"/>
        </w:rPr>
        <w:t>Sixteen modules, roughly 1,400 lines, each with one responsibility and none exceeding 200 lines.</w:t>
      </w:r>
    </w:p>
    <w:p>
      <w:pPr>
        <w:spacing w:before="120"/>
        <w:ind w:left="432"/>
      </w:pPr>
      <w:r>
        <w:rPr>
          <w:rFonts w:ascii="Consolas" w:hAnsi="Consolas"/>
          <w:sz w:val="18"/>
        </w:rPr>
        <w:t>main.py            command-line entry point</w:t>
        <w:br/>
        <w:t>languages.py       which extension is which language, and which parser</w:t>
        <w:br/>
        <w:t>repo_loader.py     which files are worth analysing</w:t>
        <w:br/>
        <w:t>extractor.py       choose a backend, walk a repository</w:t>
        <w:br/>
        <w:t xml:space="preserve">  extractor_python.py    parse with ast</w:t>
        <w:br/>
        <w:t xml:space="preserve">  extractor_js.py        parse with tree-sitter</w:t>
        <w:br/>
        <w:t>detectors.py       the four detectors, Python</w:t>
        <w:br/>
        <w:t>detectors_js.py    the four detectors, JavaScript and TypeScript</w:t>
        <w:br/>
        <w:t>detector_names.py  the framework names each detector recognises</w:t>
        <w:br/>
        <w:t>ast_utils.py       shared syntax-tree helpers, Python</w:t>
        <w:br/>
        <w:t>ts_utils.py        shared syntax-tree helpers, tree-sitter</w:t>
        <w:br/>
        <w:t>surface.py         the data model and stable JSON output</w:t>
        <w:br/>
        <w:t>corpus_paths.py    where the corpus keeps code, and where it keeps evidence</w:t>
        <w:br/>
        <w:t>config.py          settings, from the environment</w:t>
        <w:br/>
        <w:t>model_client.py    the local model client (used from Phase 3)</w:t>
      </w:r>
    </w:p>
    <w:p>
      <w:pPr>
        <w:pStyle w:val="Heading3"/>
      </w:pPr>
      <w:r>
        <w:rPr>
          <w:b w:val="0"/>
          <w:i w:val="0"/>
        </w:rPr>
        <w:t>5.2 Two parser backends</w:t>
      </w:r>
    </w:p>
    <w:p>
      <w:pPr>
        <w:jc w:val="both"/>
      </w:pPr>
      <w:r>
        <w:rPr>
          <w:b w:val="0"/>
          <w:i w:val="0"/>
        </w:rPr>
        <w:t xml:space="preserve">Python is read with the standard library's </w:t>
      </w:r>
      <w:r>
        <w:rPr>
          <w:rFonts w:ascii="Consolas" w:hAnsi="Consolas"/>
          <w:b w:val="0"/>
          <w:i w:val="0"/>
          <w:sz w:val="19"/>
        </w:rPr>
        <w:t>ast</w:t>
      </w:r>
      <w:r>
        <w:rPr>
          <w:b w:val="0"/>
          <w:i w:val="0"/>
        </w:rPr>
        <w:t>. JavaScript and TypeScript are read with tree-sitter, because the standard library has no JavaScript parser.</w:t>
      </w:r>
    </w:p>
    <w:p>
      <w:pPr>
        <w:jc w:val="both"/>
      </w:pPr>
      <w:r>
        <w:rPr>
          <w:b w:val="0"/>
          <w:i w:val="0"/>
        </w:rPr>
        <w:t xml:space="preserve">Using one parser for both was considered and rejected. Python's </w:t>
      </w:r>
      <w:r>
        <w:rPr>
          <w:rFonts w:ascii="Consolas" w:hAnsi="Consolas"/>
          <w:b w:val="0"/>
          <w:i w:val="0"/>
          <w:sz w:val="19"/>
        </w:rPr>
        <w:t>ast</w:t>
      </w:r>
      <w:r>
        <w:rPr>
          <w:b w:val="0"/>
          <w:i w:val="0"/>
        </w:rPr>
        <w:t xml:space="preserve"> resolves imports properly, which a tree-sitter query cannot do without reimplementing module semantics — and the Python path was already working and tested.</w:t>
      </w:r>
    </w:p>
    <w:p>
      <w:pPr>
        <w:jc w:val="both"/>
      </w:pPr>
      <w:r>
        <w:rPr>
          <w:b w:val="0"/>
          <w:i w:val="0"/>
        </w:rPr>
        <w:t>The cost of two backends is honest and worth recording: two lists of framework names that can drift apart. They did drift, twice, during development. Both cases were caught by tests, and both are described in §5.5.</w:t>
      </w:r>
    </w:p>
    <w:p>
      <w:pPr>
        <w:jc w:val="both"/>
      </w:pPr>
      <w:r>
        <w:rPr>
          <w:b w:val="0"/>
          <w:i w:val="0"/>
        </w:rPr>
        <w:t xml:space="preserve">The seam is kept invisible: both backends produce the same </w:t>
      </w:r>
      <w:r>
        <w:rPr>
          <w:rFonts w:ascii="Consolas" w:hAnsi="Consolas"/>
          <w:b w:val="0"/>
          <w:i w:val="0"/>
          <w:sz w:val="19"/>
        </w:rPr>
        <w:t>Surface</w:t>
      </w:r>
      <w:r>
        <w:rPr>
          <w:b w:val="0"/>
          <w:i w:val="0"/>
        </w:rPr>
        <w:t xml:space="preserve"> type, so nothing downstream knows which parser ran.</w:t>
      </w:r>
    </w:p>
    <w:p>
      <w:pPr>
        <w:pStyle w:val="Heading3"/>
      </w:pPr>
      <w:r>
        <w:rPr>
          <w:b w:val="0"/>
          <w:i w:val="0"/>
        </w:rPr>
        <w:t>5.3 The detectors</w:t>
      </w:r>
    </w:p>
    <w:p>
      <w:pPr>
        <w:jc w:val="both"/>
      </w:pPr>
      <w:r>
        <w:rPr>
          <w:b w:val="0"/>
          <w:i w:val="0"/>
        </w:rPr>
        <w:t>Each detector walks the syntax tree flatly and matches against a table of names. Supporting a new framework means adding a name to a set, not writing new logic.</w:t>
      </w:r>
    </w:p>
    <w:p>
      <w:pPr>
        <w:jc w:val="both"/>
      </w:pPr>
      <w:r>
        <w:rPr>
          <w:b w:val="0"/>
          <w:i w:val="0"/>
        </w:rPr>
        <w:t xml:space="preserve">A prompt is recognised either as a framework prompt class, or as text assigned to a prompt-shaped variable. That second case must accept more than literals: in the corpus, prompts are assembled with </w:t>
      </w:r>
      <w:r>
        <w:rPr>
          <w:rFonts w:ascii="Consolas" w:hAnsi="Consolas"/>
          <w:b w:val="0"/>
          <w:i w:val="0"/>
          <w:sz w:val="19"/>
        </w:rPr>
        <w:t>.format()</w:t>
      </w:r>
      <w:r>
        <w:rPr>
          <w:b w:val="0"/>
          <w:i w:val="0"/>
        </w:rPr>
        <w:t xml:space="preserve"> and by concatenation, and an early version that only matched literals missed them entirely.</w:t>
      </w:r>
    </w:p>
    <w:p>
      <w:pPr>
        <w:pStyle w:val="Heading3"/>
      </w:pPr>
      <w:r>
        <w:rPr>
          <w:b w:val="0"/>
          <w:i w:val="0"/>
        </w:rPr>
        <w:t>5.4 Correctness by construction</w:t>
      </w:r>
    </w:p>
    <w:p>
      <w:pPr>
        <w:jc w:val="both"/>
      </w:pPr>
      <w:r>
        <w:rPr>
          <w:b w:val="0"/>
          <w:i w:val="0"/>
        </w:rPr>
        <w:t>Several choices exist to make failure loud rather than quiet:</w:t>
      </w:r>
    </w:p>
    <w:p>
      <w:pPr>
        <w:pStyle w:val="ListBullet"/>
      </w:pPr>
      <w:r>
        <w:rPr>
          <w:b w:val="0"/>
          <w:i w:val="0"/>
        </w:rPr>
        <w:t xml:space="preserve">A repository with no surfaces writes an artifact with </w:t>
      </w:r>
      <w:r>
        <w:rPr>
          <w:rFonts w:ascii="Consolas" w:hAnsi="Consolas"/>
          <w:b w:val="0"/>
          <w:i w:val="0"/>
          <w:sz w:val="19"/>
        </w:rPr>
        <w:t>surface_count: 0</w:t>
      </w:r>
    </w:p>
    <w:p>
      <w:pPr>
        <w:jc w:val="both"/>
      </w:pPr>
      <w:r>
        <w:rPr>
          <w:b w:val="0"/>
          <w:i w:val="0"/>
        </w:rPr>
        <w:t>rather than erroring, so "audited, found nothing" is distinguishable from "never audited".</w:t>
      </w:r>
    </w:p>
    <w:p>
      <w:pPr>
        <w:pStyle w:val="ListBullet"/>
      </w:pPr>
      <w:r>
        <w:rPr>
          <w:b w:val="0"/>
          <w:i w:val="0"/>
        </w:rPr>
        <w:t>A malformed file raises an error naming the file. tree-sitter never raises on</w:t>
      </w:r>
    </w:p>
    <w:p>
      <w:pPr>
        <w:jc w:val="both"/>
      </w:pPr>
      <w:r>
        <w:rPr>
          <w:b w:val="0"/>
          <w:i w:val="0"/>
        </w:rPr>
        <w:t>bad syntax — it returns a tree containing error nodes — so the JavaScript backend checks for them explicitly. Without that check a malformed file would silently yield zero surfaces.</w:t>
      </w:r>
    </w:p>
    <w:p>
      <w:pPr>
        <w:pStyle w:val="ListBullet"/>
      </w:pPr>
      <w:r>
        <w:rPr>
          <w:b w:val="0"/>
          <w:i w:val="0"/>
        </w:rPr>
        <w:t>Symlinks are skipped. A symbolic link inside an audited repository can point</w:t>
      </w:r>
    </w:p>
    <w:p>
      <w:pPr>
        <w:jc w:val="both"/>
      </w:pPr>
      <w:r>
        <w:rPr>
          <w:b w:val="0"/>
          <w:i w:val="0"/>
        </w:rPr>
        <w:t>anywhere on the machine, and its contents would otherwise be read and appear in the report.</w:t>
      </w:r>
    </w:p>
    <w:p>
      <w:pPr>
        <w:pStyle w:val="ListBullet"/>
      </w:pPr>
      <w:r>
        <w:rPr>
          <w:b w:val="0"/>
          <w:i w:val="0"/>
        </w:rPr>
        <w:t>A misconfigured setting names the setting, the value, and where the value</w:t>
      </w:r>
    </w:p>
    <w:p>
      <w:pPr>
        <w:jc w:val="both"/>
      </w:pPr>
      <w:r>
        <w:rPr>
          <w:b w:val="0"/>
          <w:i w:val="0"/>
        </w:rPr>
        <w:t>came from.</w:t>
      </w:r>
    </w:p>
    <w:p>
      <w:pPr>
        <w:pStyle w:val="Heading3"/>
      </w:pPr>
      <w:r>
        <w:rPr>
          <w:b w:val="0"/>
          <w:i w:val="0"/>
        </w:rPr>
        <w:t>5.5 Defects found during development</w:t>
      </w:r>
    </w:p>
    <w:p>
      <w:pPr>
        <w:jc w:val="both"/>
      </w:pPr>
      <w:r>
        <w:rPr>
          <w:b w:val="0"/>
          <w:i w:val="0"/>
        </w:rPr>
        <w:t>Three are recorded because they illustrate the failure modes this kind of tool is prone to, and because each was found by a check rather than by inspection.</w:t>
      </w:r>
    </w:p>
    <w:p>
      <w:pPr>
        <w:jc w:val="both"/>
      </w:pPr>
      <w:r>
        <w:rPr>
          <w:b/>
          <w:i w:val="0"/>
        </w:rPr>
        <w:t>Relative imports were recorded as packages.</w:t>
      </w:r>
      <w:r>
        <w:rPr>
          <w:b w:val="0"/>
          <w:i w:val="0"/>
        </w:rPr>
        <w:t xml:space="preserve"> </w:t>
      </w:r>
      <w:r>
        <w:rPr>
          <w:rFonts w:ascii="Consolas" w:hAnsi="Consolas"/>
          <w:b w:val="0"/>
          <w:i w:val="0"/>
          <w:sz w:val="19"/>
        </w:rPr>
        <w:t>from .settings import x</w:t>
      </w:r>
      <w:r>
        <w:rPr>
          <w:b w:val="0"/>
          <w:i w:val="0"/>
        </w:rPr>
        <w:t xml:space="preserve"> recorded </w:t>
      </w:r>
      <w:r>
        <w:rPr>
          <w:rFonts w:ascii="Consolas" w:hAnsi="Consolas"/>
          <w:b w:val="0"/>
          <w:i w:val="0"/>
          <w:sz w:val="19"/>
        </w:rPr>
        <w:t>module: "settings"</w:t>
      </w:r>
      <w:r>
        <w:rPr>
          <w:b w:val="0"/>
          <w:i w:val="0"/>
        </w:rPr>
        <w:t>, indistinguishable from a third-party package. Phase 2 would have attempted to join first-party code to an SBOM component and produced a wrong answer with no error. Both backends had the defect; fixing Python made the JavaScript test fail, which is how the second was found.</w:t>
      </w:r>
    </w:p>
    <w:p>
      <w:pPr>
        <w:jc w:val="both"/>
      </w:pPr>
      <w:r>
        <w:rPr>
          <w:b/>
          <w:i w:val="0"/>
        </w:rPr>
        <w:t>A high-privilege tool was invisible.</w:t>
      </w:r>
      <w:r>
        <w:rPr>
          <w:b w:val="0"/>
          <w:i w:val="0"/>
        </w:rPr>
        <w:t xml:space="preserve"> </w:t>
      </w:r>
      <w:r>
        <w:rPr>
          <w:rFonts w:ascii="Consolas" w:hAnsi="Consolas"/>
          <w:b w:val="0"/>
          <w:i w:val="0"/>
          <w:sz w:val="19"/>
        </w:rPr>
        <w:t>ShellTool</w:t>
      </w:r>
      <w:r>
        <w:rPr>
          <w:b w:val="0"/>
          <w:i w:val="0"/>
        </w:rPr>
        <w:t xml:space="preserve"> was listed as high-privilege but was never in the set the detector matched against, so</w:t>
      </w:r>
    </w:p>
    <w:p>
      <w:pPr>
        <w:jc w:val="both"/>
      </w:pPr>
      <w:r>
        <w:rPr>
          <w:rFonts w:ascii="Consolas" w:hAnsi="Consolas"/>
          <w:b w:val="0"/>
          <w:i w:val="0"/>
          <w:sz w:val="19"/>
        </w:rPr>
        <w:t>new ShellTool()</w:t>
      </w:r>
      <w:r>
        <w:rPr>
          <w:b w:val="0"/>
          <w:i w:val="0"/>
        </w:rPr>
        <w:t xml:space="preserve"> in a TypeScript file produced no surface at all — a silent false negative on the most severe category of tool, in the backend that had no corpus fixture behind it.</w:t>
      </w:r>
    </w:p>
    <w:p>
      <w:pPr>
        <w:jc w:val="both"/>
      </w:pPr>
      <w:r>
        <w:rPr>
          <w:b/>
          <w:i w:val="0"/>
        </w:rPr>
        <w:t>An over-broad name produced false positives.</w:t>
      </w:r>
      <w:r>
        <w:rPr>
          <w:b w:val="0"/>
          <w:i w:val="0"/>
        </w:rPr>
        <w:t xml:space="preserve"> </w:t>
      </w:r>
      <w:r>
        <w:rPr>
          <w:rFonts w:ascii="Consolas" w:hAnsi="Consolas"/>
          <w:b w:val="0"/>
          <w:i w:val="0"/>
          <w:sz w:val="19"/>
        </w:rPr>
        <w:t>model.invoke(...)</w:t>
      </w:r>
      <w:r>
        <w:rPr>
          <w:b w:val="0"/>
          <w:i w:val="0"/>
        </w:rPr>
        <w:t xml:space="preserve"> was reported as a data source. In LangChain.js </w:t>
      </w:r>
      <w:r>
        <w:rPr>
          <w:rFonts w:ascii="Consolas" w:hAnsi="Consolas"/>
          <w:b w:val="0"/>
          <w:i w:val="0"/>
          <w:sz w:val="19"/>
        </w:rPr>
        <w:t>.invoke()</w:t>
      </w:r>
      <w:r>
        <w:rPr>
          <w:b w:val="0"/>
          <w:i w:val="0"/>
        </w:rPr>
        <w:t xml:space="preserve"> is the universal call for models, chains, and retrievers alike, so every model call was being labelled as data entering the system.</w:t>
      </w:r>
    </w:p>
    <w:p>
      <w:r>
        <w:br w:type="page"/>
      </w:r>
    </w:p>
    <w:p>
      <w:pPr>
        <w:pStyle w:val="Heading2"/>
      </w:pPr>
      <w:r>
        <w:rPr>
          <w:b w:val="0"/>
          <w:i w:val="0"/>
        </w:rPr>
        <w:t>6. Evaluation</w:t>
      </w:r>
    </w:p>
    <w:p>
      <w:pPr>
        <w:pStyle w:val="Heading3"/>
      </w:pPr>
      <w:r>
        <w:rPr>
          <w:b w:val="0"/>
          <w:i w:val="0"/>
        </w:rPr>
        <w:t>6.1 Method</w:t>
      </w:r>
    </w:p>
    <w:p>
      <w:pPr>
        <w:jc w:val="both"/>
      </w:pPr>
      <w:r>
        <w:rPr>
          <w:b w:val="0"/>
          <w:i w:val="0"/>
        </w:rPr>
        <w:t xml:space="preserve">Detection quality is measured against a hand-written grading key. For each corpus application, a </w:t>
      </w:r>
      <w:r>
        <w:rPr>
          <w:rFonts w:ascii="Consolas" w:hAnsi="Consolas"/>
          <w:b w:val="0"/>
          <w:i w:val="0"/>
          <w:sz w:val="19"/>
        </w:rPr>
        <w:t>ground_truth.json</w:t>
      </w:r>
      <w:r>
        <w:rPr>
          <w:b w:val="0"/>
          <w:i w:val="0"/>
        </w:rPr>
        <w:t xml:space="preserve"> records the known findings and the surfaces that must be extracted, each with a file, a line, and an OWASP identifier. Precision, recall, and F1 are then computed by comparing the tool's output to that key.</w:t>
      </w:r>
    </w:p>
    <w:p>
      <w:pPr>
        <w:jc w:val="both"/>
      </w:pPr>
      <w:r>
        <w:rPr>
          <w:b w:val="0"/>
          <w:i w:val="0"/>
        </w:rPr>
        <w:t>Three details make the comparison trustworthy:</w:t>
      </w:r>
    </w:p>
    <w:p>
      <w:pPr>
        <w:jc w:val="both"/>
      </w:pPr>
      <w:r>
        <w:rPr>
          <w:b/>
          <w:i w:val="0"/>
        </w:rPr>
        <w:t>The key is derived independently of the tool.</w:t>
      </w:r>
      <w:r>
        <w:rPr>
          <w:b w:val="0"/>
          <w:i w:val="0"/>
        </w:rPr>
        <w:t xml:space="preserve"> Findings come from reading the application's source and its own documented vulnerabilities. A key derived from the tool's output would make precision 100% by construction and the measurement worthless.</w:t>
      </w:r>
    </w:p>
    <w:p>
      <w:pPr>
        <w:jc w:val="both"/>
      </w:pPr>
      <w:r>
        <w:rPr>
          <w:b/>
          <w:i w:val="0"/>
        </w:rPr>
        <w:t>Line numbers are pinned.</w:t>
      </w:r>
      <w:r>
        <w:rPr>
          <w:b w:val="0"/>
          <w:i w:val="0"/>
        </w:rPr>
        <w:t xml:space="preserve"> Each corpus application is fixed to an upstream commit recorded in a manifest, and each record stores a </w:t>
      </w:r>
      <w:r>
        <w:rPr>
          <w:rFonts w:ascii="Consolas" w:hAnsi="Consolas"/>
          <w:b w:val="0"/>
          <w:i w:val="0"/>
          <w:sz w:val="19"/>
        </w:rPr>
        <w:t>code_anchor</w:t>
      </w:r>
      <w:r>
        <w:rPr>
          <w:b w:val="0"/>
          <w:i w:val="0"/>
        </w:rPr>
        <w:t xml:space="preserve"> — the first 60 characters of the anchored line. A test reads the real file and checks the line still starts with that text, so if the application ever moves to a different commit, the mismatch is detected rather than silently grading against the wrong lines.</w:t>
      </w:r>
    </w:p>
    <w:p>
      <w:pPr>
        <w:jc w:val="both"/>
      </w:pPr>
      <w:r>
        <w:rPr>
          <w:b/>
          <w:i w:val="0"/>
        </w:rPr>
        <w:t>Matching allows a small window.</w:t>
      </w:r>
      <w:r>
        <w:rPr>
          <w:b w:val="0"/>
          <w:i w:val="0"/>
        </w:rPr>
        <w:t xml:space="preserve"> A finding matches when the file and surface kind are equal and the line falls within three lines of the recorded range. Exact equality would be wrong: a detector may legitimately report a decorator line where a human recorded the function definition.</w:t>
      </w:r>
    </w:p>
    <w:p>
      <w:pPr>
        <w:pStyle w:val="Heading3"/>
      </w:pPr>
      <w:r>
        <w:rPr>
          <w:b w:val="0"/>
          <w:i w:val="0"/>
        </w:rPr>
        <w:t>6.2 Corpus</w:t>
      </w:r>
    </w:p>
    <w:p>
      <w:pPr>
        <w:jc w:val="both"/>
      </w:pPr>
      <w:r>
        <w:rPr>
          <w:b w:val="0"/>
          <w:i w:val="0"/>
        </w:rPr>
        <w:t xml:space="preserve">One application: </w:t>
      </w:r>
      <w:r>
        <w:rPr>
          <w:rFonts w:ascii="Consolas" w:hAnsi="Consolas"/>
          <w:b w:val="0"/>
          <w:i w:val="0"/>
          <w:sz w:val="19"/>
        </w:rPr>
        <w:t>damn-vulnerable-llm-agent</w:t>
      </w:r>
      <w:r>
        <w:rPr>
          <w:b w:val="0"/>
          <w:i w:val="0"/>
        </w:rPr>
        <w:t>, a deliberately vulnerable LangChain support agent published by Reversec Labs as a capture-the-flag challenge. It is four Python files, and its own documentation describes the planted vulnerabilities, which is what makes an independent grading key feasible.</w:t>
      </w:r>
    </w:p>
    <w:p>
      <w:pPr>
        <w:jc w:val="both"/>
      </w:pPr>
      <w:r>
        <w:rPr>
          <w:b w:val="0"/>
          <w:i w:val="0"/>
        </w:rPr>
        <w:t>Its source is not committed to this repository — it is a third-party project. The manifest pins the commit, and the README carries the command to download it.</w:t>
      </w:r>
    </w:p>
    <w:p>
      <w:pPr>
        <w:pStyle w:val="Heading3"/>
      </w:pPr>
      <w:r>
        <w:rPr>
          <w:b w:val="0"/>
          <w:i w:val="0"/>
        </w:rPr>
        <w:t>6.3 Results to date</w:t>
      </w:r>
    </w:p>
    <w:p>
      <w:pPr>
        <w:jc w:val="both"/>
      </w:pPr>
      <w:r>
        <w:rPr>
          <w:b w:val="0"/>
          <w:i w:val="0"/>
        </w:rPr>
        <w:t>The extractor's output on the corpus application: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i w:val="0"/>
              </w:rPr>
              <w:t>Surface kind</w:t>
            </w:r>
          </w:p>
        </w:tc>
        <w:tc>
          <w:tcPr>
            <w:tcW w:type="dxa" w:w="4320"/>
          </w:tcPr>
          <w:p>
            <w:r/>
            <w:r>
              <w:rPr>
                <w:b/>
                <w:i w:val="0"/>
              </w:rPr>
              <w:t>Found</w:t>
            </w:r>
          </w:p>
        </w:tc>
      </w:tr>
      <w:tr>
        <w:tc>
          <w:tcPr>
            <w:tcW w:type="dxa" w:w="4320"/>
          </w:tcPr>
          <w:p>
            <w:r/>
            <w:r>
              <w:rPr>
                <w:rFonts w:ascii="Consolas" w:hAnsi="Consolas"/>
                <w:b w:val="0"/>
                <w:i w:val="0"/>
                <w:sz w:val="19"/>
              </w:rPr>
              <w:t>PROMPT_TEMPLATE</w:t>
            </w:r>
          </w:p>
        </w:tc>
        <w:tc>
          <w:tcPr>
            <w:tcW w:type="dxa" w:w="4320"/>
          </w:tcPr>
          <w:p>
            <w:r/>
            <w:r>
              <w:rPr>
                <w:b w:val="0"/>
                <w:i w:val="0"/>
              </w:rPr>
              <w:t>1</w:t>
            </w:r>
          </w:p>
        </w:tc>
      </w:tr>
      <w:tr>
        <w:tc>
          <w:tcPr>
            <w:tcW w:type="dxa" w:w="4320"/>
          </w:tcPr>
          <w:p>
            <w:r/>
            <w:r>
              <w:rPr>
                <w:rFonts w:ascii="Consolas" w:hAnsi="Consolas"/>
                <w:b w:val="0"/>
                <w:i w:val="0"/>
                <w:sz w:val="19"/>
              </w:rPr>
              <w:t>AGENT_DEF</w:t>
            </w:r>
          </w:p>
        </w:tc>
        <w:tc>
          <w:tcPr>
            <w:tcW w:type="dxa" w:w="4320"/>
          </w:tcPr>
          <w:p>
            <w:r/>
            <w:r>
              <w:rPr>
                <w:b w:val="0"/>
                <w:i w:val="0"/>
              </w:rPr>
              <w:t>3</w:t>
            </w:r>
          </w:p>
        </w:tc>
      </w:tr>
      <w:tr>
        <w:tc>
          <w:tcPr>
            <w:tcW w:type="dxa" w:w="4320"/>
          </w:tcPr>
          <w:p>
            <w:r/>
            <w:r>
              <w:rPr>
                <w:rFonts w:ascii="Consolas" w:hAnsi="Consolas"/>
                <w:b w:val="0"/>
                <w:i w:val="0"/>
                <w:sz w:val="19"/>
              </w:rPr>
              <w:t>TOOL_CALL</w:t>
            </w:r>
          </w:p>
        </w:tc>
        <w:tc>
          <w:tcPr>
            <w:tcW w:type="dxa" w:w="4320"/>
          </w:tcPr>
          <w:p>
            <w:r/>
            <w:r>
              <w:rPr>
                <w:b w:val="0"/>
                <w:i w:val="0"/>
              </w:rPr>
              <w:t>2</w:t>
            </w:r>
          </w:p>
        </w:tc>
      </w:tr>
      <w:tr>
        <w:tc>
          <w:tcPr>
            <w:tcW w:type="dxa" w:w="4320"/>
          </w:tcPr>
          <w:p>
            <w:r/>
            <w:r>
              <w:rPr>
                <w:rFonts w:ascii="Consolas" w:hAnsi="Consolas"/>
                <w:b w:val="0"/>
                <w:i w:val="0"/>
                <w:sz w:val="19"/>
              </w:rPr>
              <w:t>DATA_SOURCE</w:t>
            </w:r>
          </w:p>
        </w:tc>
        <w:tc>
          <w:tcPr>
            <w:tcW w:type="dxa" w:w="4320"/>
          </w:tcPr>
          <w:p>
            <w:r/>
            <w:r>
              <w:rPr>
                <w:b w:val="0"/>
                <w:i w:val="0"/>
              </w:rPr>
              <w:t>13</w:t>
            </w:r>
          </w:p>
        </w:tc>
      </w:tr>
      <w:tr>
        <w:tc>
          <w:tcPr>
            <w:tcW w:type="dxa" w:w="4320"/>
          </w:tcPr>
          <w:p>
            <w:r/>
            <w:r>
              <w:rPr>
                <w:b/>
                <w:i w:val="0"/>
              </w:rPr>
              <w:t>Total</w:t>
            </w:r>
          </w:p>
        </w:tc>
        <w:tc>
          <w:tcPr>
            <w:tcW w:type="dxa" w:w="4320"/>
          </w:tcPr>
          <w:p>
            <w:r/>
            <w:r>
              <w:rPr>
                <w:b/>
                <w:i w:val="0"/>
              </w:rPr>
              <w:t>19</w:t>
            </w:r>
          </w:p>
        </w:tc>
      </w:tr>
    </w:tbl>
    <w:p/>
    <w:p>
      <w:pPr>
        <w:jc w:val="both"/>
      </w:pPr>
      <w:r>
        <w:rPr>
          <w:b w:val="0"/>
          <w:i w:val="0"/>
        </w:rPr>
        <w:t>All five findings in the grading key that reference a code surface are matched at the expected file, kind, and name. The suite is 236 tests.</w:t>
      </w:r>
    </w:p>
    <w:p>
      <w:pPr>
        <w:jc w:val="both"/>
      </w:pPr>
      <w:r>
        <w:rPr>
          <w:b/>
          <w:i w:val="0"/>
        </w:rPr>
        <w:t>These are not evaluation results.</w:t>
      </w:r>
      <w:r>
        <w:rPr>
          <w:b w:val="0"/>
          <w:i w:val="0"/>
        </w:rPr>
        <w:t xml:space="preserve"> They state that the tool finds what the grading key says is there. They do not establish precision, because the corpus contains no application asserted to be clean, and they rest on a grading key that has not been independently verified. §7 sets out what that means.</w:t>
      </w:r>
    </w:p>
    <w:p>
      <w:r>
        <w:br w:type="page"/>
      </w:r>
    </w:p>
    <w:p>
      <w:pPr>
        <w:pStyle w:val="Heading2"/>
      </w:pPr>
      <w:r>
        <w:rPr>
          <w:b w:val="0"/>
          <w:i w:val="0"/>
        </w:rPr>
        <w:t>7. Limitations and threats to validity</w:t>
      </w:r>
    </w:p>
    <w:p>
      <w:pPr>
        <w:jc w:val="both"/>
      </w:pPr>
      <w:r>
        <w:rPr>
          <w:b w:val="0"/>
          <w:i w:val="0"/>
        </w:rPr>
        <w:t>Stated in the order they would affect a reader's confidence.</w:t>
      </w:r>
    </w:p>
    <w:p>
      <w:pPr>
        <w:jc w:val="both"/>
      </w:pPr>
      <w:r>
        <w:rPr>
          <w:b/>
          <w:i w:val="0"/>
        </w:rPr>
        <w:t>The grading key is unverified.</w:t>
      </w:r>
      <w:r>
        <w:rPr>
          <w:b w:val="0"/>
          <w:i w:val="0"/>
        </w:rPr>
        <w:t xml:space="preserve"> It was drafted from reading the application and its documentation, but has not had the second-person check the project requires. Until it does, no precision or recall figure computed against it is thesis-grade. This is the single most important outstanding item.</w:t>
      </w:r>
    </w:p>
    <w:p>
      <w:pPr>
        <w:jc w:val="both"/>
      </w:pPr>
      <w:r>
        <w:rPr>
          <w:b/>
          <w:i w:val="0"/>
        </w:rPr>
        <w:t>Precision cannot currently be measured.</w:t>
      </w:r>
      <w:r>
        <w:rPr>
          <w:b w:val="0"/>
          <w:i w:val="0"/>
        </w:rPr>
        <w:t xml:space="preserve"> Measuring false positives needs an application asserted to contain no findings. The corpus has none, so only recall is measurable. A clean fixture was previously in the corpus and was removed when the project was narrowed to one application; adding one back is a prerequisite for reporting a false-positive rate.</w:t>
      </w:r>
    </w:p>
    <w:p>
      <w:pPr>
        <w:jc w:val="both"/>
      </w:pPr>
      <w:r>
        <w:rPr>
          <w:b/>
          <w:i w:val="0"/>
        </w:rPr>
        <w:t>A single application is a weak evidence base.</w:t>
      </w:r>
      <w:r>
        <w:rPr>
          <w:b w:val="0"/>
          <w:i w:val="0"/>
        </w:rPr>
        <w:t xml:space="preserve"> Results from one four-file application cannot support a general claim, and the corpus must grow before RQ1 can be answered.</w:t>
      </w:r>
    </w:p>
    <w:p>
      <w:pPr>
        <w:jc w:val="both"/>
      </w:pPr>
      <w:r>
        <w:rPr>
          <w:b/>
          <w:i w:val="0"/>
        </w:rPr>
        <w:t>The JavaScript backend has no corpus fixture.</w:t>
      </w:r>
      <w:r>
        <w:rPr>
          <w:b w:val="0"/>
          <w:i w:val="0"/>
        </w:rPr>
        <w:t xml:space="preserve"> It is covered by unit tests over inline code samples, but nothing end-to-end exercises it. The multi-language claim is therefore weaker than the Python claim.</w:t>
      </w:r>
    </w:p>
    <w:p>
      <w:pPr>
        <w:jc w:val="both"/>
      </w:pPr>
      <w:r>
        <w:rPr>
          <w:b/>
          <w:i w:val="0"/>
        </w:rPr>
        <w:t>Detection is pattern-based.</w:t>
      </w:r>
      <w:r>
        <w:rPr>
          <w:b w:val="0"/>
          <w:i w:val="0"/>
        </w:rPr>
        <w:t xml:space="preserve"> The detectors recognise the framework names they are told about. A framework that is not in the tables is invisible, and the tables are known to be incomplete for JavaScript.</w:t>
      </w:r>
    </w:p>
    <w:p>
      <w:pPr>
        <w:jc w:val="both"/>
      </w:pPr>
      <w:r>
        <w:rPr>
          <w:b/>
          <w:i w:val="0"/>
        </w:rPr>
        <w:t>The OWASP subset is unsigned.</w:t>
      </w:r>
      <w:r>
        <w:rPr>
          <w:b w:val="0"/>
          <w:i w:val="0"/>
        </w:rPr>
        <w:t xml:space="preserve"> The set named in the plan and the set the software accepts are not identical, and three of the drafted findings fall outside the proposed list. Until this is settled, what the evaluation measures is not fixed.</w:t>
      </w:r>
    </w:p>
    <w:p>
      <w:pPr>
        <w:jc w:val="both"/>
      </w:pPr>
      <w:r>
        <w:rPr>
          <w:b/>
          <w:i w:val="0"/>
        </w:rPr>
        <w:t>Reproducibility depends on upstream.</w:t>
      </w:r>
      <w:r>
        <w:rPr>
          <w:b w:val="0"/>
          <w:i w:val="0"/>
        </w:rPr>
        <w:t xml:space="preserve"> The corpus application is downloaded rather than committed. The commit is pinned and drift is detected, but if the upstream repository is deleted the fixture cannot be restored.</w:t>
      </w:r>
    </w:p>
    <w:p>
      <w:r>
        <w:br w:type="page"/>
      </w:r>
    </w:p>
    <w:p>
      <w:pPr>
        <w:pStyle w:val="Heading2"/>
      </w:pPr>
      <w:r>
        <w:rPr>
          <w:b w:val="0"/>
          <w:i w:val="0"/>
        </w:rPr>
        <w:t>8. Ethics and safety</w:t>
      </w:r>
    </w:p>
    <w:p>
      <w:pPr>
        <w:jc w:val="both"/>
      </w:pPr>
      <w:r>
        <w:rPr>
          <w:b w:val="0"/>
          <w:i w:val="0"/>
        </w:rPr>
        <w:t>The auditor is defensive tooling and is constrained accordingly.</w:t>
      </w:r>
    </w:p>
    <w:p>
      <w:pPr>
        <w:jc w:val="both"/>
      </w:pPr>
      <w:r>
        <w:rPr>
          <w:b w:val="0"/>
          <w:i w:val="0"/>
        </w:rPr>
        <w:t xml:space="preserve">It runs </w:t>
      </w:r>
      <w:r>
        <w:rPr>
          <w:b/>
          <w:i w:val="0"/>
        </w:rPr>
        <w:t>offline</w:t>
      </w:r>
      <w:r>
        <w:rPr>
          <w:b w:val="0"/>
          <w:i w:val="0"/>
        </w:rPr>
        <w:t xml:space="preserve">: no external network calls, and the audited code never leaves the machine. It </w:t>
      </w:r>
      <w:r>
        <w:rPr>
          <w:b/>
          <w:i w:val="0"/>
        </w:rPr>
        <w:t>never modifies</w:t>
      </w:r>
      <w:r>
        <w:rPr>
          <w:b w:val="0"/>
          <w:i w:val="0"/>
        </w:rPr>
        <w:t xml:space="preserve"> the code it audits. It only ever</w:t>
      </w:r>
    </w:p>
    <w:p>
      <w:pPr>
        <w:jc w:val="both"/>
      </w:pPr>
      <w:r>
        <w:rPr>
          <w:b w:val="0"/>
          <w:i/>
        </w:rPr>
        <w:t>parses</w:t>
      </w:r>
      <w:r>
        <w:rPr>
          <w:b w:val="0"/>
          <w:i w:val="0"/>
        </w:rPr>
        <w:t xml:space="preserve"> the applications it reads — nothing is imported, installed, or executed, so analysing an untrusted repository does not run its code.</w:t>
      </w:r>
    </w:p>
    <w:p>
      <w:pPr>
        <w:jc w:val="both"/>
      </w:pPr>
      <w:r>
        <w:rPr>
          <w:b w:val="0"/>
          <w:i w:val="0"/>
        </w:rPr>
        <w:t>The corpus applications are published, deliberately vulnerable teaching examples, used as their authors intended. No live or third-party system is tested. Phase 3's probing, when built, is confined to benign payloads against an isolated instance; no exploit code is written or distributed.</w:t>
      </w:r>
    </w:p>
    <w:p>
      <w:r>
        <w:br w:type="page"/>
      </w:r>
    </w:p>
    <w:p>
      <w:pPr>
        <w:pStyle w:val="Heading2"/>
      </w:pPr>
      <w:r>
        <w:rPr>
          <w:b w:val="0"/>
          <w:i w:val="0"/>
        </w:rPr>
        <w:t>9. Project status and plan</w:t>
      </w:r>
    </w:p>
    <w:p>
      <w:pPr>
        <w:jc w:val="both"/>
      </w:pPr>
      <w:r>
        <w:rPr>
          <w:b/>
          <w:i w:val="0"/>
        </w:rPr>
        <w:t>Complete.</w:t>
      </w:r>
      <w:r>
        <w:rPr>
          <w:b w:val="0"/>
          <w:i w:val="0"/>
        </w:rPr>
        <w:t xml:space="preserve"> Phase 1: the extractor, its command-line interface, the artifact schema, the corpus and its grading key, and a 236-test suite. The offline constraint is asserted rather than assumed: </w:t>
      </w:r>
      <w:r>
        <w:rPr>
          <w:rFonts w:ascii="Consolas" w:hAnsi="Consolas"/>
          <w:b w:val="0"/>
          <w:i w:val="0"/>
          <w:sz w:val="19"/>
        </w:rPr>
        <w:t>tests/test_offline.py</w:t>
      </w:r>
      <w:r>
        <w:rPr>
          <w:b w:val="0"/>
          <w:i w:val="0"/>
        </w:rPr>
        <w:t xml:space="preserve"> replaces the socket type, runs a full extraction, and fails if any outbound connection is even attempted.</w:t>
      </w:r>
    </w:p>
    <w:p>
      <w:pPr>
        <w:jc w:val="both"/>
      </w:pPr>
      <w:r>
        <w:rPr>
          <w:b/>
          <w:i w:val="0"/>
        </w:rPr>
        <w:t>Immediate next steps</w:t>
      </w:r>
      <w:r>
        <w:rPr>
          <w:b w:val="0"/>
          <w:i w:val="0"/>
        </w:rPr>
        <w:t>, in dependency order:</w:t>
      </w:r>
    </w:p>
    <w:p>
      <w:pPr>
        <w:pStyle w:val="ListNumber"/>
      </w:pPr>
      <w:r>
        <w:rPr>
          <w:b w:val="0"/>
          <w:i w:val="0"/>
        </w:rPr>
        <w:t>Verify the grading key by hand — this blocks all of Phase 4.</w:t>
      </w:r>
    </w:p>
    <w:p>
      <w:pPr>
        <w:pStyle w:val="ListNumber"/>
      </w:pPr>
      <w:r>
        <w:rPr>
          <w:b w:val="0"/>
          <w:i w:val="0"/>
        </w:rPr>
        <w:t>Sign off the OWASP subset, so the scope of the evaluation is fixed.</w:t>
      </w:r>
    </w:p>
    <w:p>
      <w:pPr>
        <w:pStyle w:val="ListNumber"/>
      </w:pPr>
      <w:r>
        <w:rPr>
          <w:b w:val="0"/>
          <w:i w:val="0"/>
        </w:rPr>
        <w:t>Add a clean application to the corpus, so precision becomes measurable.</w:t>
      </w:r>
    </w:p>
    <w:p>
      <w:pPr>
        <w:pStyle w:val="ListNumber"/>
      </w:pPr>
      <w:r>
        <w:rPr>
          <w:b w:val="0"/>
          <w:i w:val="0"/>
        </w:rPr>
        <w:t>Begin Phase 2: generate SBOMs, define the AIBOM schema, and join surfaces to</w:t>
      </w:r>
    </w:p>
    <w:p>
      <w:pPr>
        <w:jc w:val="both"/>
      </w:pPr>
      <w:r>
        <w:rPr>
          <w:b w:val="0"/>
          <w:i w:val="0"/>
        </w:rPr>
        <w:t xml:space="preserve">components on the </w:t>
      </w:r>
      <w:r>
        <w:rPr>
          <w:rFonts w:ascii="Consolas" w:hAnsi="Consolas"/>
          <w:b w:val="0"/>
          <w:i w:val="0"/>
          <w:sz w:val="19"/>
        </w:rPr>
        <w:t>module</w:t>
      </w:r>
      <w:r>
        <w:rPr>
          <w:b w:val="0"/>
          <w:i w:val="0"/>
        </w:rPr>
        <w:t xml:space="preserve"> field.</w:t>
      </w:r>
    </w:p>
    <w:p>
      <w:pPr>
        <w:jc w:val="both"/>
      </w:pPr>
      <w:r>
        <w:rPr>
          <w:b/>
          <w:i w:val="0"/>
        </w:rPr>
        <w:t>Deferred deliberately.</w:t>
      </w:r>
      <w:r>
        <w:rPr>
          <w:b w:val="0"/>
          <w:i w:val="0"/>
        </w:rPr>
        <w:t xml:space="preserve"> Auditing a repository directly from a URL was built during Phase 1 and removed again: it introduced an untrusted input into the phase that establishes the extractor, and brought with it the safety work such input requires. The implementation and its tests are preserved on a tag for Phase 3, where fetching more applications becomes necessary.</w:t>
      </w:r>
    </w:p>
    <w:p>
      <w:r>
        <w:br w:type="page"/>
      </w:r>
    </w:p>
    <w:p>
      <w:pPr>
        <w:pStyle w:val="Heading2"/>
      </w:pPr>
      <w:r>
        <w:rPr>
          <w:b w:val="0"/>
          <w:i w:val="0"/>
        </w:rPr>
        <w:t>References</w:t>
      </w:r>
    </w:p>
    <w:p>
      <w:pPr>
        <w:pStyle w:val="ListNumber"/>
      </w:pPr>
      <w:r>
        <w:rPr>
          <w:b w:val="0"/>
          <w:i w:val="0"/>
        </w:rPr>
        <w:t xml:space="preserve">OWASP. </w:t>
      </w:r>
      <w:r>
        <w:rPr>
          <w:b w:val="0"/>
          <w:i/>
        </w:rPr>
        <w:t>OWASP Top 10 for Large Language Model Applications.</w:t>
      </w:r>
    </w:p>
    <w:p>
      <w:pPr>
        <w:jc w:val="both"/>
      </w:pPr>
      <w:r>
        <w:rPr>
          <w:b w:val="0"/>
          <w:i w:val="0"/>
        </w:rPr>
        <w:t xml:space="preserve">https://owasp.org/www-project-top-10-for-large-language-model-applications/ 2. Reversec Labs (formerly WithSecure Labs). </w:t>
      </w:r>
      <w:r>
        <w:rPr>
          <w:b w:val="0"/>
          <w:i/>
        </w:rPr>
        <w:t>Damn Vulnerable LLM Agent.</w:t>
      </w:r>
      <w:r>
        <w:rPr>
          <w:b w:val="0"/>
          <w:i w:val="0"/>
        </w:rPr>
        <w:t xml:space="preserve"> https://github.com/ReversecLabs/damn-vulnerable-llm-agent 3. WithSecure Labs. </w:t>
      </w:r>
      <w:r>
        <w:rPr>
          <w:b w:val="0"/>
          <w:i/>
        </w:rPr>
        <w:t>Prompt injection attacks against LLM agents.</w:t>
      </w:r>
      <w:r>
        <w:rPr>
          <w:b w:val="0"/>
          <w:i w:val="0"/>
        </w:rPr>
        <w:t xml:space="preserve"> https://labs.withsecure.com/publications/llm-agent-prompt-injection 4. Pedro, R. et al. </w:t>
      </w:r>
      <w:r>
        <w:rPr>
          <w:b w:val="0"/>
          <w:i/>
        </w:rPr>
        <w:t>From Prompt Injections to SQL Injection Attacks: How Protected is Your LLM-Integrated Web Application?</w:t>
      </w:r>
      <w:r>
        <w:rPr>
          <w:b w:val="0"/>
          <w:i w:val="0"/>
        </w:rPr>
        <w:t xml:space="preserve"> arXiv:2308.01990. 5. </w:t>
      </w:r>
      <w:r>
        <w:rPr>
          <w:b w:val="0"/>
          <w:i/>
        </w:rPr>
        <w:t>LLM4Shell: Discovering and Exploiting RCE Vulnerabilities in Real-World LLM-Integrated Frameworks and Apps.</w:t>
      </w:r>
      <w:r>
        <w:rPr>
          <w:b w:val="0"/>
          <w:i w:val="0"/>
        </w:rPr>
        <w:t xml:space="preserve"> Black Hat Asia 2024. 6. OWASP CycloneDX. https://cyclonedx.org/ 7. Linux Foundation. </w:t>
      </w:r>
      <w:r>
        <w:rPr>
          <w:b w:val="0"/>
          <w:i/>
        </w:rPr>
        <w:t>SPDX Specification.</w:t>
      </w:r>
      <w:r>
        <w:rPr>
          <w:b w:val="0"/>
          <w:i w:val="0"/>
        </w:rPr>
        <w:t xml:space="preserve"> https://spdx.dev/ 8. tree-sitter. </w:t>
      </w:r>
      <w:r>
        <w:rPr>
          <w:b w:val="0"/>
          <w:i/>
        </w:rPr>
        <w:t>An incremental parsing system for programming tools.</w:t>
      </w:r>
      <w:r>
        <w:rPr>
          <w:b w:val="0"/>
          <w:i w:val="0"/>
        </w:rPr>
        <w:t xml:space="preserve"> https://tree-sitter.github.io/tree-sitter/</w:t>
      </w:r>
    </w:p>
    <w:p>
      <w:pPr>
        <w:jc w:val="both"/>
      </w:pPr>
      <w:r>
        <w:rPr>
          <w:b w:val="0"/>
          <w:i/>
        </w:rPr>
        <w:t>References 2–5 are the corpus application's own sources and the publications it cites. The structured literature review recorded in §3 as outstanding will extend this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