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82D89A" w14:textId="2F307EEC" w:rsidR="00681B6F" w:rsidRDefault="00681B6F" w:rsidP="00B557B5">
      <w:pPr>
        <w:pStyle w:val="HTMLPreformatted"/>
        <w:rPr>
          <w:rFonts w:ascii="inherit" w:hAnsi="inherit"/>
          <w:lang w:val="en-US"/>
        </w:rPr>
      </w:pPr>
      <w:r>
        <w:rPr>
          <w:rFonts w:ascii="inherit" w:hAnsi="inherit"/>
          <w:lang w:val="en-US"/>
        </w:rPr>
        <w:t>Information for Hein.</w:t>
      </w:r>
    </w:p>
    <w:p w14:paraId="7D65DF0A" w14:textId="77777777" w:rsidR="00681B6F" w:rsidRDefault="00681B6F" w:rsidP="00B557B5">
      <w:pPr>
        <w:pStyle w:val="HTMLPreformatted"/>
        <w:rPr>
          <w:rFonts w:ascii="inherit" w:hAnsi="inherit"/>
          <w:lang w:val="en-US"/>
        </w:rPr>
      </w:pPr>
    </w:p>
    <w:p w14:paraId="381D1071" w14:textId="3133DBC5" w:rsidR="0075338F" w:rsidRPr="00B557B5" w:rsidRDefault="00B557B5" w:rsidP="00B557B5">
      <w:pPr>
        <w:pStyle w:val="HTMLPreformatted"/>
      </w:pPr>
      <w:r>
        <w:rPr>
          <w:rFonts w:ascii="inherit" w:hAnsi="inherit"/>
          <w:lang w:val="en-US"/>
        </w:rPr>
        <w:t xml:space="preserve">Source for </w:t>
      </w:r>
      <w:proofErr w:type="spellStart"/>
      <w:r>
        <w:rPr>
          <w:rFonts w:ascii="inherit" w:hAnsi="inherit"/>
          <w:lang w:val="en-US"/>
        </w:rPr>
        <w:t>trivy</w:t>
      </w:r>
      <w:proofErr w:type="spellEnd"/>
      <w:r>
        <w:rPr>
          <w:rFonts w:ascii="inherit" w:hAnsi="inherit"/>
          <w:lang w:val="en-US"/>
        </w:rPr>
        <w:t xml:space="preserve"> database: </w:t>
      </w:r>
      <w:r>
        <w:rPr>
          <w:rStyle w:val="HTMLCode"/>
          <w:rFonts w:ascii="inherit" w:hAnsi="inherit"/>
        </w:rPr>
        <w:t>ghcr.io/</w:t>
      </w:r>
      <w:proofErr w:type="spellStart"/>
      <w:r>
        <w:rPr>
          <w:rStyle w:val="HTMLCode"/>
          <w:rFonts w:ascii="inherit" w:hAnsi="inherit"/>
        </w:rPr>
        <w:t>aquasecurity</w:t>
      </w:r>
      <w:proofErr w:type="spellEnd"/>
      <w:r>
        <w:rPr>
          <w:rStyle w:val="HTMLCode"/>
          <w:rFonts w:ascii="inherit" w:hAnsi="inherit"/>
        </w:rPr>
        <w:t>/</w:t>
      </w:r>
      <w:proofErr w:type="spellStart"/>
      <w:r>
        <w:rPr>
          <w:rStyle w:val="HTMLCode"/>
          <w:rFonts w:ascii="inherit" w:hAnsi="inherit"/>
        </w:rPr>
        <w:t>trivy-db</w:t>
      </w:r>
      <w:proofErr w:type="spellEnd"/>
      <w:r>
        <w:rPr>
          <w:rStyle w:val="HTMLCode"/>
          <w:rFonts w:ascii="inherit" w:hAnsi="inherit"/>
        </w:rPr>
        <w:br/>
      </w:r>
    </w:p>
    <w:p w14:paraId="0427D23E" w14:textId="77777777" w:rsidR="00B557B5" w:rsidRDefault="00B557B5" w:rsidP="00B557B5">
      <w:pPr>
        <w:autoSpaceDE w:val="0"/>
        <w:autoSpaceDN w:val="0"/>
        <w:adjustRightInd w:val="0"/>
        <w:spacing w:after="240" w:line="240" w:lineRule="auto"/>
        <w:rPr>
          <w:rFonts w:ascii="Times-Roman" w:hAnsi="Times-Roman" w:cs="Times-Roman"/>
          <w:kern w:val="0"/>
          <w:lang w:val="en-GB"/>
        </w:rPr>
      </w:pPr>
      <w:proofErr w:type="spellStart"/>
      <w:r>
        <w:rPr>
          <w:rFonts w:ascii="Times-Roman" w:hAnsi="Times-Roman" w:cs="Times-Roman"/>
          <w:kern w:val="0"/>
          <w:lang w:val="en-GB"/>
        </w:rPr>
        <w:t>Trivy’s</w:t>
      </w:r>
      <w:proofErr w:type="spellEnd"/>
      <w:r>
        <w:rPr>
          <w:rFonts w:ascii="Times-Roman" w:hAnsi="Times-Roman" w:cs="Times-Roman"/>
          <w:kern w:val="0"/>
          <w:lang w:val="en-GB"/>
        </w:rPr>
        <w:t xml:space="preserve"> database aggregates security advisories from several sources, including:</w:t>
      </w:r>
    </w:p>
    <w:p w14:paraId="06B94202" w14:textId="77777777" w:rsidR="00B557B5" w:rsidRDefault="00B557B5" w:rsidP="00B557B5">
      <w:pPr>
        <w:numPr>
          <w:ilvl w:val="0"/>
          <w:numId w:val="1"/>
        </w:numPr>
        <w:tabs>
          <w:tab w:val="left" w:pos="220"/>
          <w:tab w:val="left" w:pos="720"/>
        </w:tabs>
        <w:autoSpaceDE w:val="0"/>
        <w:autoSpaceDN w:val="0"/>
        <w:adjustRightInd w:val="0"/>
        <w:spacing w:after="240" w:line="240" w:lineRule="auto"/>
        <w:ind w:hanging="720"/>
        <w:rPr>
          <w:rFonts w:ascii="Times-Roman" w:hAnsi="Times-Roman" w:cs="Times-Roman"/>
          <w:kern w:val="0"/>
          <w:lang w:val="en-GB"/>
        </w:rPr>
      </w:pPr>
      <w:r>
        <w:rPr>
          <w:rFonts w:ascii="Times-Roman" w:hAnsi="Times-Roman" w:cs="Times-Roman"/>
          <w:kern w:val="0"/>
          <w:lang w:val="en-GB"/>
        </w:rPr>
        <w:t>NVD, the National Vulnerability Database.</w:t>
      </w:r>
    </w:p>
    <w:p w14:paraId="0C260405" w14:textId="77777777" w:rsidR="00B557B5" w:rsidRDefault="00B557B5" w:rsidP="00B557B5">
      <w:pPr>
        <w:numPr>
          <w:ilvl w:val="0"/>
          <w:numId w:val="1"/>
        </w:numPr>
        <w:tabs>
          <w:tab w:val="left" w:pos="220"/>
          <w:tab w:val="left" w:pos="720"/>
        </w:tabs>
        <w:autoSpaceDE w:val="0"/>
        <w:autoSpaceDN w:val="0"/>
        <w:adjustRightInd w:val="0"/>
        <w:spacing w:after="240" w:line="240" w:lineRule="auto"/>
        <w:ind w:hanging="720"/>
        <w:rPr>
          <w:rFonts w:ascii="Times-Roman" w:hAnsi="Times-Roman" w:cs="Times-Roman"/>
          <w:kern w:val="0"/>
          <w:lang w:val="en-GB"/>
        </w:rPr>
      </w:pPr>
      <w:r>
        <w:rPr>
          <w:rFonts w:ascii="Times-Roman" w:hAnsi="Times-Roman" w:cs="Times-Roman"/>
          <w:kern w:val="0"/>
          <w:lang w:val="en-GB"/>
        </w:rPr>
        <w:t>Linux distribution security trackers.</w:t>
      </w:r>
    </w:p>
    <w:p w14:paraId="2974FD9F" w14:textId="77777777" w:rsidR="00B557B5" w:rsidRDefault="00B557B5" w:rsidP="00B557B5">
      <w:pPr>
        <w:numPr>
          <w:ilvl w:val="0"/>
          <w:numId w:val="1"/>
        </w:numPr>
        <w:tabs>
          <w:tab w:val="left" w:pos="220"/>
          <w:tab w:val="left" w:pos="720"/>
        </w:tabs>
        <w:autoSpaceDE w:val="0"/>
        <w:autoSpaceDN w:val="0"/>
        <w:adjustRightInd w:val="0"/>
        <w:spacing w:after="240" w:line="240" w:lineRule="auto"/>
        <w:ind w:hanging="720"/>
        <w:rPr>
          <w:rFonts w:ascii="Times-Roman" w:hAnsi="Times-Roman" w:cs="Times-Roman"/>
          <w:kern w:val="0"/>
          <w:lang w:val="en-GB"/>
        </w:rPr>
      </w:pPr>
      <w:r>
        <w:rPr>
          <w:rFonts w:ascii="Times-Roman" w:hAnsi="Times-Roman" w:cs="Times-Roman"/>
          <w:kern w:val="0"/>
          <w:lang w:val="en-GB"/>
        </w:rPr>
        <w:t>Vendor advisories such as Red Hat, Debian, Ubuntu, Alpine, Amazon Linux, and Oracle Linux.</w:t>
      </w:r>
    </w:p>
    <w:p w14:paraId="08329362" w14:textId="77777777" w:rsidR="00B557B5" w:rsidRDefault="00B557B5" w:rsidP="00B557B5">
      <w:pPr>
        <w:numPr>
          <w:ilvl w:val="0"/>
          <w:numId w:val="1"/>
        </w:numPr>
        <w:tabs>
          <w:tab w:val="left" w:pos="220"/>
          <w:tab w:val="left" w:pos="720"/>
        </w:tabs>
        <w:autoSpaceDE w:val="0"/>
        <w:autoSpaceDN w:val="0"/>
        <w:adjustRightInd w:val="0"/>
        <w:spacing w:after="240" w:line="240" w:lineRule="auto"/>
        <w:ind w:hanging="720"/>
        <w:rPr>
          <w:rFonts w:ascii="Times-Roman" w:hAnsi="Times-Roman" w:cs="Times-Roman"/>
          <w:kern w:val="0"/>
          <w:lang w:val="en-GB"/>
        </w:rPr>
      </w:pPr>
      <w:r>
        <w:rPr>
          <w:rFonts w:ascii="Times-Roman" w:hAnsi="Times-Roman" w:cs="Times-Roman"/>
          <w:kern w:val="0"/>
          <w:lang w:val="en-GB"/>
        </w:rPr>
        <w:t>GitHub Advisory Database.</w:t>
      </w:r>
    </w:p>
    <w:p w14:paraId="174CC92E" w14:textId="77777777" w:rsidR="00B557B5" w:rsidRDefault="00B557B5" w:rsidP="00B557B5">
      <w:pPr>
        <w:numPr>
          <w:ilvl w:val="0"/>
          <w:numId w:val="1"/>
        </w:numPr>
        <w:tabs>
          <w:tab w:val="left" w:pos="220"/>
          <w:tab w:val="left" w:pos="720"/>
        </w:tabs>
        <w:autoSpaceDE w:val="0"/>
        <w:autoSpaceDN w:val="0"/>
        <w:adjustRightInd w:val="0"/>
        <w:spacing w:after="240" w:line="240" w:lineRule="auto"/>
        <w:ind w:hanging="720"/>
        <w:rPr>
          <w:rFonts w:ascii="Times-Roman" w:hAnsi="Times-Roman" w:cs="Times-Roman"/>
          <w:kern w:val="0"/>
          <w:lang w:val="en-GB"/>
        </w:rPr>
      </w:pPr>
      <w:r>
        <w:rPr>
          <w:rFonts w:ascii="Times-Roman" w:hAnsi="Times-Roman" w:cs="Times-Roman"/>
          <w:kern w:val="0"/>
          <w:lang w:val="en-GB"/>
        </w:rPr>
        <w:t>Go Vulnerability Database.</w:t>
      </w:r>
    </w:p>
    <w:p w14:paraId="77CEB47C" w14:textId="77777777" w:rsidR="00B557B5" w:rsidRDefault="00B557B5" w:rsidP="00B557B5">
      <w:pPr>
        <w:numPr>
          <w:ilvl w:val="0"/>
          <w:numId w:val="1"/>
        </w:numPr>
        <w:tabs>
          <w:tab w:val="left" w:pos="220"/>
          <w:tab w:val="left" w:pos="720"/>
        </w:tabs>
        <w:autoSpaceDE w:val="0"/>
        <w:autoSpaceDN w:val="0"/>
        <w:adjustRightInd w:val="0"/>
        <w:spacing w:after="240" w:line="240" w:lineRule="auto"/>
        <w:ind w:hanging="720"/>
        <w:rPr>
          <w:rFonts w:ascii="Times-Roman" w:hAnsi="Times-Roman" w:cs="Times-Roman"/>
          <w:kern w:val="0"/>
          <w:lang w:val="en-GB"/>
        </w:rPr>
      </w:pPr>
      <w:proofErr w:type="spellStart"/>
      <w:r>
        <w:rPr>
          <w:rFonts w:ascii="Times-Roman" w:hAnsi="Times-Roman" w:cs="Times-Roman"/>
          <w:kern w:val="0"/>
          <w:lang w:val="en-GB"/>
        </w:rPr>
        <w:t>PyPI</w:t>
      </w:r>
      <w:proofErr w:type="spellEnd"/>
      <w:r>
        <w:rPr>
          <w:rFonts w:ascii="Times-Roman" w:hAnsi="Times-Roman" w:cs="Times-Roman"/>
          <w:kern w:val="0"/>
          <w:lang w:val="en-GB"/>
        </w:rPr>
        <w:t xml:space="preserve">, </w:t>
      </w:r>
      <w:proofErr w:type="spellStart"/>
      <w:r>
        <w:rPr>
          <w:rFonts w:ascii="Times-Roman" w:hAnsi="Times-Roman" w:cs="Times-Roman"/>
          <w:kern w:val="0"/>
          <w:lang w:val="en-GB"/>
        </w:rPr>
        <w:t>npm</w:t>
      </w:r>
      <w:proofErr w:type="spellEnd"/>
      <w:r>
        <w:rPr>
          <w:rFonts w:ascii="Times-Roman" w:hAnsi="Times-Roman" w:cs="Times-Roman"/>
          <w:kern w:val="0"/>
          <w:lang w:val="en-GB"/>
        </w:rPr>
        <w:t>, Ruby, Rust, NuGet, and other ecosystem advisory sources.</w:t>
      </w:r>
    </w:p>
    <w:p w14:paraId="4FEF03E3" w14:textId="7BB075C2" w:rsidR="00B557B5" w:rsidRDefault="00B557B5" w:rsidP="00B557B5">
      <w:pPr>
        <w:autoSpaceDE w:val="0"/>
        <w:autoSpaceDN w:val="0"/>
        <w:adjustRightInd w:val="0"/>
        <w:spacing w:after="240" w:line="240" w:lineRule="auto"/>
        <w:rPr>
          <w:rFonts w:ascii="Times-Roman" w:hAnsi="Times-Roman" w:cs="Times-Roman"/>
          <w:kern w:val="0"/>
          <w:lang w:val="en-GB"/>
        </w:rPr>
      </w:pPr>
      <w:proofErr w:type="spellStart"/>
      <w:r>
        <w:rPr>
          <w:rFonts w:ascii="Times-Roman" w:hAnsi="Times-Roman" w:cs="Times-Roman"/>
          <w:kern w:val="0"/>
          <w:lang w:val="en-GB"/>
        </w:rPr>
        <w:t>Trivy</w:t>
      </w:r>
      <w:proofErr w:type="spellEnd"/>
      <w:r>
        <w:rPr>
          <w:rFonts w:ascii="Times-Roman" w:hAnsi="Times-Roman" w:cs="Times-Roman"/>
          <w:kern w:val="0"/>
          <w:lang w:val="en-GB"/>
        </w:rPr>
        <w:t xml:space="preserve"> documents the specific source used for each operating system and programming-language ecosystem.</w:t>
      </w:r>
    </w:p>
    <w:p w14:paraId="72EBEA1B" w14:textId="769A4F67" w:rsidR="00B557B5" w:rsidRDefault="00B557B5">
      <w:proofErr w:type="spellStart"/>
      <w:r>
        <w:t>trivy</w:t>
      </w:r>
      <w:proofErr w:type="spellEnd"/>
      <w:r>
        <w:t xml:space="preserve"> image --download-</w:t>
      </w:r>
      <w:proofErr w:type="spellStart"/>
      <w:r>
        <w:t>db</w:t>
      </w:r>
      <w:proofErr w:type="spellEnd"/>
      <w:r>
        <w:t>-only</w:t>
      </w:r>
    </w:p>
    <w:p w14:paraId="2234DA21" w14:textId="77777777" w:rsidR="00681B6F" w:rsidRDefault="00681B6F"/>
    <w:p w14:paraId="17A188F2" w14:textId="77777777" w:rsidR="00681B6F" w:rsidRDefault="00681B6F"/>
    <w:p w14:paraId="3150A9D3" w14:textId="49618F41" w:rsidR="00B557B5" w:rsidRDefault="00B557B5">
      <w:r>
        <w:t xml:space="preserve">For work flow process, we used </w:t>
      </w:r>
      <w:proofErr w:type="spellStart"/>
      <w:r>
        <w:t>trivy</w:t>
      </w:r>
      <w:proofErr w:type="spellEnd"/>
      <w:r>
        <w:t xml:space="preserve"> to update and download-db. The </w:t>
      </w:r>
      <w:r w:rsidR="00681B6F">
        <w:t xml:space="preserve">python you done </w:t>
      </w:r>
      <w:r>
        <w:t xml:space="preserve">will generate a CVE based on </w:t>
      </w:r>
      <w:proofErr w:type="spellStart"/>
      <w:r>
        <w:t>trivy</w:t>
      </w:r>
      <w:proofErr w:type="spellEnd"/>
      <w:r>
        <w:t xml:space="preserve"> db.</w:t>
      </w:r>
    </w:p>
    <w:p w14:paraId="67564C91" w14:textId="15DEFC61" w:rsidR="00B557B5" w:rsidRDefault="00B557B5">
      <w:r>
        <w:t xml:space="preserve">Good source of </w:t>
      </w:r>
      <w:proofErr w:type="spellStart"/>
      <w:r>
        <w:t>cve</w:t>
      </w:r>
      <w:proofErr w:type="spellEnd"/>
      <w:r>
        <w:t xml:space="preserve"> that I always used:</w:t>
      </w:r>
    </w:p>
    <w:p w14:paraId="714F3798" w14:textId="31CEC237" w:rsidR="00B557B5" w:rsidRDefault="00B557B5">
      <w:hyperlink r:id="rId5" w:history="1">
        <w:r w:rsidRPr="00575B27">
          <w:rPr>
            <w:rStyle w:val="Hyperlink"/>
          </w:rPr>
          <w:t>https://www.cve.org/CVERecord?id=CVE-2025-</w:t>
        </w:r>
        <w:r w:rsidRPr="00575B27">
          <w:rPr>
            <w:rStyle w:val="Hyperlink"/>
          </w:rPr>
          <w:t>3</w:t>
        </w:r>
        <w:r w:rsidRPr="00575B27">
          <w:rPr>
            <w:rStyle w:val="Hyperlink"/>
          </w:rPr>
          <w:t>7164</w:t>
        </w:r>
      </w:hyperlink>
    </w:p>
    <w:p w14:paraId="4F6ED30B" w14:textId="193715E2" w:rsidR="00B557B5" w:rsidRDefault="00B557B5">
      <w:hyperlink r:id="rId6" w:history="1">
        <w:r w:rsidRPr="00575B27">
          <w:rPr>
            <w:rStyle w:val="Hyperlink"/>
          </w:rPr>
          <w:t>https://nvd.nist.gov/vuln/detail/cve-2025-</w:t>
        </w:r>
        <w:r w:rsidRPr="00575B27">
          <w:rPr>
            <w:rStyle w:val="Hyperlink"/>
          </w:rPr>
          <w:t>3</w:t>
        </w:r>
        <w:r w:rsidRPr="00575B27">
          <w:rPr>
            <w:rStyle w:val="Hyperlink"/>
          </w:rPr>
          <w:t>7164</w:t>
        </w:r>
      </w:hyperlink>
    </w:p>
    <w:p w14:paraId="35344C7C" w14:textId="69EB8B81" w:rsidR="00B557B5" w:rsidRDefault="00B557B5">
      <w:r>
        <w:t>From here, we derived scoring based on a CVSS vector based on this. To understand this vector, you can go to</w:t>
      </w:r>
    </w:p>
    <w:p w14:paraId="4D80C6BD" w14:textId="60552450" w:rsidR="00B557B5" w:rsidRDefault="00B557B5">
      <w:hyperlink r:id="rId7" w:history="1">
        <w:r w:rsidRPr="00575B27">
          <w:rPr>
            <w:rStyle w:val="Hyperlink"/>
          </w:rPr>
          <w:t>https://www.first.org/cvss/calculator/3.1</w:t>
        </w:r>
      </w:hyperlink>
    </w:p>
    <w:p w14:paraId="77C6A689" w14:textId="695002C1" w:rsidR="00B557B5" w:rsidRPr="00B557B5" w:rsidRDefault="00B557B5">
      <w:pPr>
        <w:rPr>
          <w:rFonts w:ascii="Arial" w:hAnsi="Arial" w:cs="Arial"/>
          <w:color w:val="363636"/>
          <w:shd w:val="clear" w:color="auto" w:fill="F9FAFB"/>
        </w:rPr>
      </w:pPr>
      <w:r>
        <w:rPr>
          <w:rFonts w:ascii="Arial" w:hAnsi="Arial" w:cs="Arial"/>
          <w:color w:val="363636"/>
          <w:shd w:val="clear" w:color="auto" w:fill="F9FAFB"/>
        </w:rPr>
        <w:t>CVSS:3.1/AV:N/AC:L/PR:N/UI:N/S:C/C:H/I:H/A:H</w:t>
      </w:r>
    </w:p>
    <w:p w14:paraId="31ED11E5" w14:textId="3AE85A10" w:rsidR="00B557B5" w:rsidRDefault="00B557B5">
      <w:r>
        <w:t>Based on the above CV calculator: AV: N would indicate this:</w:t>
      </w:r>
    </w:p>
    <w:p w14:paraId="24EA39D5" w14:textId="2551C4AE" w:rsidR="00B557B5" w:rsidRDefault="00B557B5">
      <w:r w:rsidRPr="00B557B5">
        <w:drawing>
          <wp:inline distT="0" distB="0" distL="0" distR="0" wp14:anchorId="4CF30733" wp14:editId="06CC43E0">
            <wp:extent cx="2942376" cy="1015781"/>
            <wp:effectExtent l="0" t="0" r="4445" b="635"/>
            <wp:docPr id="2971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2736" name=""/>
                    <pic:cNvPicPr/>
                  </pic:nvPicPr>
                  <pic:blipFill>
                    <a:blip r:embed="rId8"/>
                    <a:stretch>
                      <a:fillRect/>
                    </a:stretch>
                  </pic:blipFill>
                  <pic:spPr>
                    <a:xfrm>
                      <a:off x="0" y="0"/>
                      <a:ext cx="3004161" cy="1037111"/>
                    </a:xfrm>
                    <a:prstGeom prst="rect">
                      <a:avLst/>
                    </a:prstGeom>
                  </pic:spPr>
                </pic:pic>
              </a:graphicData>
            </a:graphic>
          </wp:inline>
        </w:drawing>
      </w:r>
    </w:p>
    <w:p w14:paraId="79C38DAD" w14:textId="30D7E8C1" w:rsidR="00B557B5" w:rsidRDefault="00B557B5">
      <w:r>
        <w:t>Therefore, you can insert the full vector to calculate the score.</w:t>
      </w:r>
    </w:p>
    <w:p w14:paraId="03B6E356" w14:textId="1C38AEA2" w:rsidR="00B557B5" w:rsidRDefault="00B557B5">
      <w:r w:rsidRPr="00B557B5">
        <w:lastRenderedPageBreak/>
        <w:drawing>
          <wp:inline distT="0" distB="0" distL="0" distR="0" wp14:anchorId="45902FE1" wp14:editId="2208D155">
            <wp:extent cx="5731510" cy="1851025"/>
            <wp:effectExtent l="0" t="0" r="0" b="3175"/>
            <wp:docPr id="211543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30836" name=""/>
                    <pic:cNvPicPr/>
                  </pic:nvPicPr>
                  <pic:blipFill>
                    <a:blip r:embed="rId9"/>
                    <a:stretch>
                      <a:fillRect/>
                    </a:stretch>
                  </pic:blipFill>
                  <pic:spPr>
                    <a:xfrm>
                      <a:off x="0" y="0"/>
                      <a:ext cx="5731510" cy="1851025"/>
                    </a:xfrm>
                    <a:prstGeom prst="rect">
                      <a:avLst/>
                    </a:prstGeom>
                  </pic:spPr>
                </pic:pic>
              </a:graphicData>
            </a:graphic>
          </wp:inline>
        </w:drawing>
      </w:r>
    </w:p>
    <w:p w14:paraId="21316896" w14:textId="50D8483A" w:rsidR="00681B6F" w:rsidRDefault="00681B6F">
      <w:r>
        <w:t xml:space="preserve">Using this </w:t>
      </w:r>
      <w:proofErr w:type="spellStart"/>
      <w:r>
        <w:t>eg</w:t>
      </w:r>
      <w:proofErr w:type="spellEnd"/>
      <w:r>
        <w:t>:</w:t>
      </w:r>
    </w:p>
    <w:p w14:paraId="067CA388" w14:textId="1CC5158E" w:rsidR="00681B6F" w:rsidRDefault="00681B6F">
      <w:r>
        <w:t>CVE rate it as 10</w:t>
      </w:r>
      <w:r w:rsidRPr="00681B6F">
        <w:drawing>
          <wp:inline distT="0" distB="0" distL="0" distR="0" wp14:anchorId="2909D1AA" wp14:editId="64651435">
            <wp:extent cx="5731510" cy="2661920"/>
            <wp:effectExtent l="0" t="0" r="0" b="5080"/>
            <wp:docPr id="197469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97849" name=""/>
                    <pic:cNvPicPr/>
                  </pic:nvPicPr>
                  <pic:blipFill>
                    <a:blip r:embed="rId10"/>
                    <a:stretch>
                      <a:fillRect/>
                    </a:stretch>
                  </pic:blipFill>
                  <pic:spPr>
                    <a:xfrm>
                      <a:off x="0" y="0"/>
                      <a:ext cx="5731510" cy="2661920"/>
                    </a:xfrm>
                    <a:prstGeom prst="rect">
                      <a:avLst/>
                    </a:prstGeom>
                  </pic:spPr>
                </pic:pic>
              </a:graphicData>
            </a:graphic>
          </wp:inline>
        </w:drawing>
      </w:r>
    </w:p>
    <w:p w14:paraId="486676E7" w14:textId="1D9FA049" w:rsidR="00681B6F" w:rsidRDefault="00681B6F">
      <w:r>
        <w:t>BUT Tenable rate it as 9.8:</w:t>
      </w:r>
    </w:p>
    <w:p w14:paraId="73EAF737" w14:textId="345F712F" w:rsidR="00681B6F" w:rsidRDefault="00681B6F">
      <w:r w:rsidRPr="00681B6F">
        <w:drawing>
          <wp:inline distT="0" distB="0" distL="0" distR="0" wp14:anchorId="0459EEC4" wp14:editId="092997BE">
            <wp:extent cx="5359400" cy="2019300"/>
            <wp:effectExtent l="0" t="0" r="0" b="0"/>
            <wp:docPr id="55057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79485" name=""/>
                    <pic:cNvPicPr/>
                  </pic:nvPicPr>
                  <pic:blipFill>
                    <a:blip r:embed="rId11"/>
                    <a:stretch>
                      <a:fillRect/>
                    </a:stretch>
                  </pic:blipFill>
                  <pic:spPr>
                    <a:xfrm>
                      <a:off x="0" y="0"/>
                      <a:ext cx="5359400" cy="2019300"/>
                    </a:xfrm>
                    <a:prstGeom prst="rect">
                      <a:avLst/>
                    </a:prstGeom>
                  </pic:spPr>
                </pic:pic>
              </a:graphicData>
            </a:graphic>
          </wp:inline>
        </w:drawing>
      </w:r>
    </w:p>
    <w:p w14:paraId="5C0A6683" w14:textId="52A765E1" w:rsidR="00681B6F" w:rsidRDefault="00681B6F">
      <w:r>
        <w:t>Based on today discussion, we can used this LLM to check for the whether this is sound???</w:t>
      </w:r>
    </w:p>
    <w:tbl>
      <w:tblPr>
        <w:tblStyle w:val="TableGrid"/>
        <w:tblW w:w="0" w:type="auto"/>
        <w:tblLook w:val="04A0" w:firstRow="1" w:lastRow="0" w:firstColumn="1" w:lastColumn="0" w:noHBand="0" w:noVBand="1"/>
      </w:tblPr>
      <w:tblGrid>
        <w:gridCol w:w="1127"/>
        <w:gridCol w:w="1144"/>
        <w:gridCol w:w="6745"/>
      </w:tblGrid>
      <w:tr w:rsidR="00B557B5" w:rsidRPr="009360AB" w14:paraId="3A97DEE5" w14:textId="77777777" w:rsidTr="00623004">
        <w:tc>
          <w:tcPr>
            <w:tcW w:w="0" w:type="auto"/>
            <w:tcBorders>
              <w:top w:val="single" w:sz="4" w:space="0" w:color="auto"/>
              <w:left w:val="single" w:sz="4" w:space="0" w:color="auto"/>
              <w:bottom w:val="single" w:sz="4" w:space="0" w:color="auto"/>
              <w:right w:val="single" w:sz="4" w:space="0" w:color="auto"/>
            </w:tcBorders>
            <w:shd w:val="clear" w:color="auto" w:fill="70A9E0" w:themeFill="text2" w:themeFillTint="66"/>
            <w:hideMark/>
          </w:tcPr>
          <w:p w14:paraId="4947D4AC" w14:textId="77777777" w:rsidR="00B557B5" w:rsidRPr="009360AB" w:rsidRDefault="00B557B5" w:rsidP="00623004">
            <w:pPr>
              <w:rPr>
                <w:rFonts w:cs="Arial"/>
                <w:b/>
              </w:rPr>
            </w:pPr>
            <w:r w:rsidRPr="009360AB">
              <w:rPr>
                <w:rFonts w:cs="Arial"/>
                <w:b/>
              </w:rPr>
              <w:t>Severity Level</w:t>
            </w:r>
          </w:p>
        </w:tc>
        <w:tc>
          <w:tcPr>
            <w:tcW w:w="0" w:type="auto"/>
            <w:tcBorders>
              <w:top w:val="single" w:sz="4" w:space="0" w:color="auto"/>
              <w:left w:val="single" w:sz="4" w:space="0" w:color="auto"/>
              <w:bottom w:val="single" w:sz="4" w:space="0" w:color="auto"/>
              <w:right w:val="single" w:sz="4" w:space="0" w:color="auto"/>
            </w:tcBorders>
            <w:shd w:val="clear" w:color="auto" w:fill="70A9E0" w:themeFill="text2" w:themeFillTint="66"/>
          </w:tcPr>
          <w:p w14:paraId="63B69975" w14:textId="77777777" w:rsidR="00B557B5" w:rsidRPr="009360AB" w:rsidRDefault="00B557B5" w:rsidP="00623004">
            <w:pPr>
              <w:rPr>
                <w:rFonts w:cs="Arial"/>
                <w:b/>
              </w:rPr>
            </w:pPr>
            <w:r w:rsidRPr="009360AB">
              <w:rPr>
                <w:rFonts w:cs="Arial"/>
                <w:b/>
              </w:rPr>
              <w:t>CVSS v3.1 Ratings</w:t>
            </w:r>
          </w:p>
        </w:tc>
        <w:tc>
          <w:tcPr>
            <w:tcW w:w="0" w:type="auto"/>
            <w:tcBorders>
              <w:top w:val="single" w:sz="4" w:space="0" w:color="auto"/>
              <w:left w:val="single" w:sz="4" w:space="0" w:color="auto"/>
              <w:bottom w:val="single" w:sz="4" w:space="0" w:color="auto"/>
              <w:right w:val="single" w:sz="4" w:space="0" w:color="auto"/>
            </w:tcBorders>
            <w:shd w:val="clear" w:color="auto" w:fill="70A9E0" w:themeFill="text2" w:themeFillTint="66"/>
            <w:hideMark/>
          </w:tcPr>
          <w:p w14:paraId="6F2A0893" w14:textId="77777777" w:rsidR="00B557B5" w:rsidRPr="009360AB" w:rsidRDefault="00B557B5" w:rsidP="00623004">
            <w:pPr>
              <w:rPr>
                <w:rFonts w:cs="Arial"/>
                <w:b/>
              </w:rPr>
            </w:pPr>
            <w:r w:rsidRPr="009360AB">
              <w:rPr>
                <w:rFonts w:cs="Arial"/>
                <w:b/>
              </w:rPr>
              <w:t>Description of rating</w:t>
            </w:r>
          </w:p>
        </w:tc>
      </w:tr>
      <w:tr w:rsidR="00B557B5" w:rsidRPr="009360AB" w14:paraId="1FCAFBF1" w14:textId="77777777" w:rsidTr="00623004">
        <w:trPr>
          <w:trHeight w:val="1736"/>
        </w:trPr>
        <w:tc>
          <w:tcPr>
            <w:tcW w:w="0" w:type="auto"/>
            <w:tcBorders>
              <w:top w:val="single" w:sz="4" w:space="0" w:color="auto"/>
              <w:left w:val="single" w:sz="4" w:space="0" w:color="auto"/>
              <w:bottom w:val="single" w:sz="4" w:space="0" w:color="auto"/>
              <w:right w:val="single" w:sz="4" w:space="0" w:color="auto"/>
            </w:tcBorders>
            <w:hideMark/>
          </w:tcPr>
          <w:p w14:paraId="6F4EDBD1" w14:textId="77777777" w:rsidR="00B557B5" w:rsidRPr="009360AB" w:rsidRDefault="00B557B5" w:rsidP="00623004">
            <w:pPr>
              <w:jc w:val="center"/>
              <w:rPr>
                <w:rFonts w:cs="Arial"/>
                <w:b/>
                <w:color w:val="C00000"/>
              </w:rPr>
            </w:pPr>
            <w:r w:rsidRPr="009360AB">
              <w:rPr>
                <w:rFonts w:cs="Arial"/>
                <w:b/>
                <w:color w:val="C00000"/>
              </w:rPr>
              <w:lastRenderedPageBreak/>
              <w:t>Critical</w:t>
            </w:r>
          </w:p>
          <w:p w14:paraId="3F53DEF5" w14:textId="77777777" w:rsidR="00B557B5" w:rsidRPr="009360AB" w:rsidRDefault="00B557B5" w:rsidP="00623004">
            <w:pPr>
              <w:jc w:val="center"/>
              <w:rPr>
                <w:rFonts w:cs="Arial"/>
                <w:b/>
              </w:rPr>
            </w:pPr>
            <w:r w:rsidRPr="009360AB">
              <w:rPr>
                <w:rFonts w:cs="Arial"/>
                <w:b/>
                <w:color w:val="C00000"/>
              </w:rPr>
              <w:t>(C)</w:t>
            </w:r>
          </w:p>
        </w:tc>
        <w:tc>
          <w:tcPr>
            <w:tcW w:w="0" w:type="auto"/>
            <w:tcBorders>
              <w:top w:val="single" w:sz="4" w:space="0" w:color="auto"/>
              <w:left w:val="single" w:sz="4" w:space="0" w:color="auto"/>
              <w:bottom w:val="single" w:sz="4" w:space="0" w:color="auto"/>
              <w:right w:val="single" w:sz="4" w:space="0" w:color="auto"/>
            </w:tcBorders>
          </w:tcPr>
          <w:p w14:paraId="0F9D246A" w14:textId="77777777" w:rsidR="00B557B5" w:rsidRPr="009360AB" w:rsidRDefault="00B557B5" w:rsidP="00623004">
            <w:pPr>
              <w:pStyle w:val="Default"/>
              <w:jc w:val="center"/>
            </w:pPr>
            <w:r w:rsidRPr="009360AB">
              <w:t>9.0 – 10.0</w:t>
            </w:r>
          </w:p>
          <w:p w14:paraId="1A8AADF5" w14:textId="77777777" w:rsidR="00B557B5" w:rsidRPr="009360AB" w:rsidRDefault="00B557B5" w:rsidP="00623004">
            <w:pPr>
              <w:jc w:val="center"/>
              <w:rPr>
                <w:rFonts w:cs="Arial"/>
              </w:rPr>
            </w:pPr>
          </w:p>
        </w:tc>
        <w:tc>
          <w:tcPr>
            <w:tcW w:w="0" w:type="auto"/>
            <w:tcBorders>
              <w:top w:val="single" w:sz="4" w:space="0" w:color="auto"/>
              <w:left w:val="single" w:sz="4" w:space="0" w:color="auto"/>
              <w:bottom w:val="single" w:sz="4" w:space="0" w:color="auto"/>
              <w:right w:val="single" w:sz="4" w:space="0" w:color="auto"/>
            </w:tcBorders>
            <w:hideMark/>
          </w:tcPr>
          <w:p w14:paraId="5540535D" w14:textId="77777777" w:rsidR="00B557B5" w:rsidRPr="009360AB" w:rsidRDefault="00B557B5" w:rsidP="00623004">
            <w:pPr>
              <w:jc w:val="both"/>
              <w:rPr>
                <w:rFonts w:cs="Arial"/>
              </w:rPr>
            </w:pPr>
            <w:r w:rsidRPr="009360AB">
              <w:rPr>
                <w:rFonts w:cs="Arial"/>
              </w:rPr>
              <w:t>Immediate review and attention to the issue should be given to this issue as exploitation of the vulnerability likely results in root-level/ administrator compromise of servers or infrastructure devices. Exploitation is usually straightforward, in the sense that the attacker does not need any special authentication credentials or knowledge about individual users.</w:t>
            </w:r>
          </w:p>
        </w:tc>
      </w:tr>
      <w:tr w:rsidR="00B557B5" w:rsidRPr="009360AB" w14:paraId="4683DF32" w14:textId="77777777" w:rsidTr="00623004">
        <w:trPr>
          <w:trHeight w:val="1700"/>
        </w:trPr>
        <w:tc>
          <w:tcPr>
            <w:tcW w:w="0" w:type="auto"/>
            <w:tcBorders>
              <w:top w:val="single" w:sz="4" w:space="0" w:color="auto"/>
              <w:left w:val="single" w:sz="4" w:space="0" w:color="auto"/>
              <w:bottom w:val="single" w:sz="4" w:space="0" w:color="auto"/>
              <w:right w:val="single" w:sz="4" w:space="0" w:color="auto"/>
            </w:tcBorders>
            <w:hideMark/>
          </w:tcPr>
          <w:p w14:paraId="49300845" w14:textId="77777777" w:rsidR="00B557B5" w:rsidRPr="009360AB" w:rsidRDefault="00B557B5" w:rsidP="00623004">
            <w:pPr>
              <w:jc w:val="center"/>
              <w:rPr>
                <w:rFonts w:cs="Arial"/>
                <w:b/>
                <w:color w:val="FF0000"/>
              </w:rPr>
            </w:pPr>
            <w:r w:rsidRPr="009360AB">
              <w:rPr>
                <w:rFonts w:cs="Arial"/>
                <w:b/>
                <w:color w:val="FF0000"/>
              </w:rPr>
              <w:t>High</w:t>
            </w:r>
          </w:p>
          <w:p w14:paraId="52BA0FFD" w14:textId="77777777" w:rsidR="00B557B5" w:rsidRPr="009360AB" w:rsidRDefault="00B557B5" w:rsidP="00623004">
            <w:pPr>
              <w:jc w:val="center"/>
              <w:rPr>
                <w:rFonts w:cs="Arial"/>
                <w:b/>
              </w:rPr>
            </w:pPr>
            <w:r w:rsidRPr="009360AB">
              <w:rPr>
                <w:rFonts w:cs="Arial"/>
                <w:b/>
                <w:color w:val="FF0000"/>
              </w:rPr>
              <w:t>(H)</w:t>
            </w:r>
          </w:p>
        </w:tc>
        <w:tc>
          <w:tcPr>
            <w:tcW w:w="0" w:type="auto"/>
            <w:tcBorders>
              <w:top w:val="single" w:sz="4" w:space="0" w:color="auto"/>
              <w:left w:val="single" w:sz="4" w:space="0" w:color="auto"/>
              <w:bottom w:val="single" w:sz="4" w:space="0" w:color="auto"/>
              <w:right w:val="single" w:sz="4" w:space="0" w:color="auto"/>
            </w:tcBorders>
          </w:tcPr>
          <w:p w14:paraId="47043D58" w14:textId="77777777" w:rsidR="00B557B5" w:rsidRPr="009360AB" w:rsidRDefault="00B557B5" w:rsidP="00623004">
            <w:pPr>
              <w:pStyle w:val="Default"/>
              <w:jc w:val="center"/>
            </w:pPr>
            <w:r w:rsidRPr="009360AB">
              <w:t>7.0 – 8.9</w:t>
            </w:r>
          </w:p>
          <w:p w14:paraId="08B22A0B" w14:textId="77777777" w:rsidR="00B557B5" w:rsidRPr="009360AB" w:rsidRDefault="00B557B5" w:rsidP="00623004">
            <w:pPr>
              <w:jc w:val="center"/>
              <w:rPr>
                <w:rFonts w:cs="Arial"/>
              </w:rPr>
            </w:pPr>
          </w:p>
        </w:tc>
        <w:tc>
          <w:tcPr>
            <w:tcW w:w="0" w:type="auto"/>
            <w:tcBorders>
              <w:top w:val="single" w:sz="4" w:space="0" w:color="auto"/>
              <w:left w:val="single" w:sz="4" w:space="0" w:color="auto"/>
              <w:bottom w:val="single" w:sz="4" w:space="0" w:color="auto"/>
              <w:right w:val="single" w:sz="4" w:space="0" w:color="auto"/>
            </w:tcBorders>
            <w:hideMark/>
          </w:tcPr>
          <w:p w14:paraId="3603B001" w14:textId="77777777" w:rsidR="00B557B5" w:rsidRPr="009360AB" w:rsidRDefault="00B557B5" w:rsidP="00623004">
            <w:pPr>
              <w:jc w:val="both"/>
              <w:rPr>
                <w:rFonts w:cs="Arial"/>
              </w:rPr>
            </w:pPr>
            <w:r w:rsidRPr="009360AB">
              <w:rPr>
                <w:rFonts w:cs="Arial"/>
              </w:rPr>
              <w:t>Review and attention to the issue should be given within 1 month as the threat may pose significant confidentiality, integrity and availability risks to the enterprise’s information assets if breaches occur. Exploitation of this vulnerability is difficult to exploit and could result in elevated privileges. Exploitation could result in a significant data loss or downtime.</w:t>
            </w:r>
          </w:p>
        </w:tc>
      </w:tr>
      <w:tr w:rsidR="00B557B5" w:rsidRPr="009360AB" w14:paraId="597D5A43" w14:textId="77777777" w:rsidTr="00623004">
        <w:trPr>
          <w:trHeight w:val="1520"/>
        </w:trPr>
        <w:tc>
          <w:tcPr>
            <w:tcW w:w="0" w:type="auto"/>
            <w:tcBorders>
              <w:top w:val="single" w:sz="4" w:space="0" w:color="auto"/>
              <w:left w:val="single" w:sz="4" w:space="0" w:color="auto"/>
              <w:bottom w:val="single" w:sz="4" w:space="0" w:color="auto"/>
              <w:right w:val="single" w:sz="4" w:space="0" w:color="auto"/>
            </w:tcBorders>
            <w:hideMark/>
          </w:tcPr>
          <w:p w14:paraId="4C1649EB" w14:textId="77777777" w:rsidR="00B557B5" w:rsidRPr="009360AB" w:rsidRDefault="00B557B5" w:rsidP="00623004">
            <w:pPr>
              <w:jc w:val="center"/>
              <w:rPr>
                <w:rFonts w:cs="Arial"/>
                <w:b/>
                <w:color w:val="4EA72E" w:themeColor="accent6"/>
              </w:rPr>
            </w:pPr>
            <w:r w:rsidRPr="009360AB">
              <w:rPr>
                <w:rFonts w:eastAsia="Arial" w:cs="Arial"/>
                <w:b/>
                <w:color w:val="984806"/>
                <w:lang w:eastAsia="en-US"/>
              </w:rPr>
              <w:t>Medium</w:t>
            </w:r>
            <w:r w:rsidRPr="009360AB">
              <w:rPr>
                <w:rFonts w:cs="Arial"/>
                <w:b/>
                <w:color w:val="4EA72E" w:themeColor="accent6"/>
              </w:rPr>
              <w:t xml:space="preserve"> </w:t>
            </w:r>
          </w:p>
          <w:p w14:paraId="0E1EA486" w14:textId="77777777" w:rsidR="00B557B5" w:rsidRPr="009360AB" w:rsidRDefault="00B557B5" w:rsidP="00623004">
            <w:pPr>
              <w:jc w:val="center"/>
              <w:rPr>
                <w:rFonts w:cs="Arial"/>
                <w:b/>
              </w:rPr>
            </w:pPr>
            <w:r w:rsidRPr="009360AB">
              <w:rPr>
                <w:rFonts w:eastAsia="Arial" w:cs="Arial"/>
                <w:b/>
                <w:color w:val="984806"/>
                <w:lang w:eastAsia="en-US"/>
              </w:rPr>
              <w:t>(M)</w:t>
            </w:r>
          </w:p>
        </w:tc>
        <w:tc>
          <w:tcPr>
            <w:tcW w:w="0" w:type="auto"/>
            <w:tcBorders>
              <w:top w:val="single" w:sz="4" w:space="0" w:color="auto"/>
              <w:left w:val="single" w:sz="4" w:space="0" w:color="auto"/>
              <w:bottom w:val="single" w:sz="4" w:space="0" w:color="auto"/>
              <w:right w:val="single" w:sz="4" w:space="0" w:color="auto"/>
            </w:tcBorders>
          </w:tcPr>
          <w:p w14:paraId="489A6E96" w14:textId="77777777" w:rsidR="00B557B5" w:rsidRPr="009360AB" w:rsidRDefault="00B557B5" w:rsidP="00623004">
            <w:pPr>
              <w:pStyle w:val="Default"/>
              <w:jc w:val="center"/>
            </w:pPr>
            <w:r w:rsidRPr="009360AB">
              <w:t>4.0 – 6.9</w:t>
            </w:r>
          </w:p>
          <w:p w14:paraId="67915C63" w14:textId="77777777" w:rsidR="00B557B5" w:rsidRPr="009360AB" w:rsidRDefault="00B557B5" w:rsidP="00623004">
            <w:pPr>
              <w:jc w:val="center"/>
              <w:rPr>
                <w:rFonts w:cs="Arial"/>
              </w:rPr>
            </w:pPr>
          </w:p>
        </w:tc>
        <w:tc>
          <w:tcPr>
            <w:tcW w:w="0" w:type="auto"/>
            <w:tcBorders>
              <w:top w:val="single" w:sz="4" w:space="0" w:color="auto"/>
              <w:left w:val="single" w:sz="4" w:space="0" w:color="auto"/>
              <w:bottom w:val="single" w:sz="4" w:space="0" w:color="auto"/>
              <w:right w:val="single" w:sz="4" w:space="0" w:color="auto"/>
            </w:tcBorders>
            <w:hideMark/>
          </w:tcPr>
          <w:p w14:paraId="4E923162" w14:textId="77777777" w:rsidR="00B557B5" w:rsidRPr="009360AB" w:rsidRDefault="00B557B5" w:rsidP="00623004">
            <w:pPr>
              <w:jc w:val="both"/>
              <w:rPr>
                <w:rFonts w:cs="Arial"/>
              </w:rPr>
            </w:pPr>
            <w:r w:rsidRPr="009360AB">
              <w:rPr>
                <w:rFonts w:cs="Arial"/>
              </w:rPr>
              <w:t>Requires review and attention within the near term (2 months). Such exploits are difficult to set up and usually require an attacker to reside on the same local network as the victim. If exploitation is successful, it provides only very limited access and may require user privileges for successful exploitation.</w:t>
            </w:r>
          </w:p>
        </w:tc>
      </w:tr>
      <w:tr w:rsidR="00B557B5" w:rsidRPr="009360AB" w14:paraId="39239129" w14:textId="77777777" w:rsidTr="00623004">
        <w:trPr>
          <w:trHeight w:val="1250"/>
        </w:trPr>
        <w:tc>
          <w:tcPr>
            <w:tcW w:w="0" w:type="auto"/>
            <w:tcBorders>
              <w:top w:val="single" w:sz="4" w:space="0" w:color="auto"/>
              <w:left w:val="single" w:sz="4" w:space="0" w:color="auto"/>
              <w:bottom w:val="single" w:sz="4" w:space="0" w:color="auto"/>
              <w:right w:val="single" w:sz="4" w:space="0" w:color="auto"/>
            </w:tcBorders>
            <w:hideMark/>
          </w:tcPr>
          <w:p w14:paraId="38FC9821" w14:textId="77777777" w:rsidR="00B557B5" w:rsidRPr="009360AB" w:rsidRDefault="00B557B5" w:rsidP="00623004">
            <w:pPr>
              <w:jc w:val="center"/>
              <w:rPr>
                <w:rFonts w:cs="Arial"/>
                <w:b/>
                <w:color w:val="00B050"/>
              </w:rPr>
            </w:pPr>
            <w:r w:rsidRPr="009360AB">
              <w:rPr>
                <w:rFonts w:cs="Arial"/>
                <w:b/>
                <w:color w:val="00B050"/>
              </w:rPr>
              <w:t>Low</w:t>
            </w:r>
          </w:p>
          <w:p w14:paraId="4D64F105" w14:textId="77777777" w:rsidR="00B557B5" w:rsidRPr="009360AB" w:rsidRDefault="00B557B5" w:rsidP="00623004">
            <w:pPr>
              <w:jc w:val="center"/>
              <w:rPr>
                <w:rFonts w:cs="Arial"/>
                <w:b/>
              </w:rPr>
            </w:pPr>
            <w:r w:rsidRPr="009360AB">
              <w:rPr>
                <w:rFonts w:cs="Arial"/>
                <w:b/>
                <w:color w:val="00B050"/>
              </w:rPr>
              <w:t>(L)</w:t>
            </w:r>
          </w:p>
        </w:tc>
        <w:tc>
          <w:tcPr>
            <w:tcW w:w="0" w:type="auto"/>
            <w:tcBorders>
              <w:top w:val="single" w:sz="4" w:space="0" w:color="auto"/>
              <w:left w:val="single" w:sz="4" w:space="0" w:color="auto"/>
              <w:bottom w:val="single" w:sz="4" w:space="0" w:color="auto"/>
              <w:right w:val="single" w:sz="4" w:space="0" w:color="auto"/>
            </w:tcBorders>
          </w:tcPr>
          <w:p w14:paraId="347F2E26" w14:textId="77777777" w:rsidR="00B557B5" w:rsidRPr="009360AB" w:rsidRDefault="00B557B5" w:rsidP="00623004">
            <w:pPr>
              <w:pStyle w:val="Default"/>
              <w:jc w:val="center"/>
            </w:pPr>
            <w:r w:rsidRPr="009360AB">
              <w:t>0.1 – 3.9</w:t>
            </w:r>
          </w:p>
          <w:p w14:paraId="0E1A3FC6" w14:textId="77777777" w:rsidR="00B557B5" w:rsidRPr="009360AB" w:rsidRDefault="00B557B5" w:rsidP="00623004">
            <w:pPr>
              <w:jc w:val="center"/>
              <w:rPr>
                <w:rFonts w:cs="Arial"/>
              </w:rPr>
            </w:pPr>
          </w:p>
        </w:tc>
        <w:tc>
          <w:tcPr>
            <w:tcW w:w="0" w:type="auto"/>
            <w:tcBorders>
              <w:top w:val="single" w:sz="4" w:space="0" w:color="auto"/>
              <w:left w:val="single" w:sz="4" w:space="0" w:color="auto"/>
              <w:bottom w:val="single" w:sz="4" w:space="0" w:color="auto"/>
              <w:right w:val="single" w:sz="4" w:space="0" w:color="auto"/>
            </w:tcBorders>
            <w:hideMark/>
          </w:tcPr>
          <w:p w14:paraId="200D4BD9" w14:textId="77777777" w:rsidR="00B557B5" w:rsidRPr="009360AB" w:rsidRDefault="00B557B5" w:rsidP="00623004">
            <w:pPr>
              <w:jc w:val="both"/>
              <w:rPr>
                <w:rFonts w:cs="Arial"/>
              </w:rPr>
            </w:pPr>
            <w:r w:rsidRPr="009360AB">
              <w:rPr>
                <w:rFonts w:cs="Arial"/>
              </w:rPr>
              <w:t>Requires review and attentions if resources allow (2 months). Risk exposure does not have a significant impact on operations. Addressing this risk does provide improvement on existing controls and security.</w:t>
            </w:r>
          </w:p>
        </w:tc>
      </w:tr>
      <w:tr w:rsidR="00B557B5" w:rsidRPr="009360AB" w14:paraId="075197DE" w14:textId="77777777" w:rsidTr="00623004">
        <w:trPr>
          <w:trHeight w:val="1061"/>
        </w:trPr>
        <w:tc>
          <w:tcPr>
            <w:tcW w:w="0" w:type="auto"/>
            <w:tcBorders>
              <w:top w:val="single" w:sz="4" w:space="0" w:color="auto"/>
              <w:left w:val="single" w:sz="4" w:space="0" w:color="auto"/>
              <w:bottom w:val="single" w:sz="4" w:space="0" w:color="auto"/>
              <w:right w:val="single" w:sz="4" w:space="0" w:color="auto"/>
            </w:tcBorders>
            <w:hideMark/>
          </w:tcPr>
          <w:p w14:paraId="248496C1" w14:textId="77777777" w:rsidR="00B557B5" w:rsidRPr="009360AB" w:rsidRDefault="00B557B5" w:rsidP="00623004">
            <w:pPr>
              <w:jc w:val="center"/>
              <w:rPr>
                <w:rFonts w:cs="Arial"/>
                <w:b/>
              </w:rPr>
            </w:pPr>
            <w:r w:rsidRPr="009360AB">
              <w:rPr>
                <w:rFonts w:cs="Arial"/>
                <w:b/>
                <w:color w:val="0E2841" w:themeColor="text2"/>
              </w:rPr>
              <w:t>Info</w:t>
            </w:r>
          </w:p>
        </w:tc>
        <w:tc>
          <w:tcPr>
            <w:tcW w:w="0" w:type="auto"/>
            <w:tcBorders>
              <w:top w:val="single" w:sz="4" w:space="0" w:color="auto"/>
              <w:left w:val="single" w:sz="4" w:space="0" w:color="auto"/>
              <w:bottom w:val="single" w:sz="4" w:space="0" w:color="auto"/>
              <w:right w:val="single" w:sz="4" w:space="0" w:color="auto"/>
            </w:tcBorders>
          </w:tcPr>
          <w:p w14:paraId="0D98412F" w14:textId="77777777" w:rsidR="00B557B5" w:rsidRPr="009360AB" w:rsidRDefault="00B557B5" w:rsidP="00623004">
            <w:pPr>
              <w:pStyle w:val="Default"/>
              <w:jc w:val="center"/>
            </w:pPr>
            <w:r w:rsidRPr="009360AB">
              <w:t>0.0</w:t>
            </w:r>
          </w:p>
          <w:p w14:paraId="25095E19" w14:textId="77777777" w:rsidR="00B557B5" w:rsidRPr="009360AB" w:rsidRDefault="00B557B5" w:rsidP="00623004">
            <w:pPr>
              <w:jc w:val="center"/>
              <w:rPr>
                <w:rFonts w:cs="Arial"/>
              </w:rPr>
            </w:pPr>
          </w:p>
        </w:tc>
        <w:tc>
          <w:tcPr>
            <w:tcW w:w="0" w:type="auto"/>
            <w:tcBorders>
              <w:top w:val="single" w:sz="4" w:space="0" w:color="auto"/>
              <w:left w:val="single" w:sz="4" w:space="0" w:color="auto"/>
              <w:bottom w:val="single" w:sz="4" w:space="0" w:color="auto"/>
              <w:right w:val="single" w:sz="4" w:space="0" w:color="auto"/>
            </w:tcBorders>
            <w:hideMark/>
          </w:tcPr>
          <w:p w14:paraId="736BBD7F" w14:textId="77777777" w:rsidR="00B557B5" w:rsidRPr="009360AB" w:rsidRDefault="00B557B5" w:rsidP="00623004">
            <w:pPr>
              <w:rPr>
                <w:rFonts w:cs="Arial"/>
              </w:rPr>
            </w:pPr>
            <w:r w:rsidRPr="009360AB">
              <w:rPr>
                <w:rFonts w:cs="Arial"/>
              </w:rPr>
              <w:t>Requires review and attentions if resources allow.</w:t>
            </w:r>
          </w:p>
        </w:tc>
      </w:tr>
    </w:tbl>
    <w:p w14:paraId="71AD02D6" w14:textId="77777777" w:rsidR="00B557B5" w:rsidRDefault="00B557B5"/>
    <w:p w14:paraId="785FA07E" w14:textId="057BC844" w:rsidR="00681B6F" w:rsidRDefault="00B557B5">
      <w:r>
        <w:t xml:space="preserve">Because scoring for a CVE can be different (because each vendor have a different </w:t>
      </w:r>
      <w:proofErr w:type="spellStart"/>
      <w:r>
        <w:t>interpretion</w:t>
      </w:r>
      <w:proofErr w:type="spellEnd"/>
      <w:r>
        <w:t xml:space="preserve"> of </w:t>
      </w:r>
      <w:r w:rsidR="0034602A">
        <w:t>severity</w:t>
      </w:r>
      <w:r w:rsidR="00681B6F">
        <w:t>)</w:t>
      </w:r>
      <w:r>
        <w:t xml:space="preserve">, for </w:t>
      </w:r>
      <w:proofErr w:type="spellStart"/>
      <w:r>
        <w:t>eg</w:t>
      </w:r>
      <w:proofErr w:type="spellEnd"/>
      <w:r>
        <w:t xml:space="preserve">, some believe it is not as serious as it thought to be, so we take a few source of </w:t>
      </w:r>
      <w:proofErr w:type="spellStart"/>
      <w:r>
        <w:t>cve</w:t>
      </w:r>
      <w:proofErr w:type="spellEnd"/>
      <w:r>
        <w:t xml:space="preserve"> (for </w:t>
      </w:r>
      <w:proofErr w:type="spellStart"/>
      <w:r>
        <w:t>eg</w:t>
      </w:r>
      <w:proofErr w:type="spellEnd"/>
      <w:r>
        <w:t xml:space="preserve">, </w:t>
      </w:r>
      <w:proofErr w:type="spellStart"/>
      <w:r>
        <w:t>cve</w:t>
      </w:r>
      <w:proofErr w:type="spellEnd"/>
      <w:r>
        <w:t xml:space="preserve"> website, </w:t>
      </w:r>
      <w:proofErr w:type="spellStart"/>
      <w:r>
        <w:t>nist</w:t>
      </w:r>
      <w:proofErr w:type="spellEnd"/>
      <w:r>
        <w:t xml:space="preserve"> website or tenable website -&gt; feed the LLM </w:t>
      </w:r>
      <w:r w:rsidR="00681B6F">
        <w:t>with a slightly older model (</w:t>
      </w:r>
      <w:proofErr w:type="spellStart"/>
      <w:r w:rsidR="00681B6F">
        <w:t>qwen</w:t>
      </w:r>
      <w:proofErr w:type="spellEnd"/>
      <w:r w:rsidR="00681B6F">
        <w:t xml:space="preserve"> 2.5 perhaps), and let it determine if the score is closely align.</w:t>
      </w:r>
      <w:r w:rsidR="0034602A">
        <w:t xml:space="preserve"> After which, we used qwen3.8 to analyse. And the finally cloud based AI?</w:t>
      </w:r>
    </w:p>
    <w:p w14:paraId="142DDB2F" w14:textId="018BF258" w:rsidR="00681B6F" w:rsidRDefault="00681B6F" w:rsidP="00681B6F">
      <w:pPr>
        <w:autoSpaceDE w:val="0"/>
        <w:autoSpaceDN w:val="0"/>
        <w:adjustRightInd w:val="0"/>
        <w:spacing w:after="240" w:line="240" w:lineRule="auto"/>
        <w:rPr>
          <w:rFonts w:ascii="Times-Roman" w:hAnsi="Times-Roman" w:cs="Times-Roman"/>
          <w:kern w:val="0"/>
          <w:lang w:val="en-GB"/>
        </w:rPr>
      </w:pPr>
      <w:r>
        <w:rPr>
          <w:rFonts w:ascii="Times-Roman" w:hAnsi="Times-Roman" w:cs="Times-Roman"/>
          <w:kern w:val="0"/>
          <w:lang w:val="en-GB"/>
        </w:rPr>
        <w:t xml:space="preserve">If the NVD CVSS score does not reflect your organisation’s interpretation, an LLM can help you create a </w:t>
      </w:r>
      <w:r>
        <w:rPr>
          <w:rFonts w:ascii="Times-Bold" w:hAnsi="Times-Bold" w:cs="Times-Bold"/>
          <w:b/>
          <w:bCs/>
          <w:kern w:val="0"/>
          <w:lang w:val="en-GB"/>
        </w:rPr>
        <w:t>contextual vulnerability assessment</w:t>
      </w:r>
      <w:r>
        <w:rPr>
          <w:rFonts w:ascii="Times-Roman" w:hAnsi="Times-Roman" w:cs="Times-Roman"/>
          <w:kern w:val="0"/>
          <w:lang w:val="en-GB"/>
        </w:rPr>
        <w:t>.</w:t>
      </w:r>
    </w:p>
    <w:p w14:paraId="3E3E4396" w14:textId="77777777" w:rsidR="00681B6F" w:rsidRDefault="00681B6F" w:rsidP="00681B6F">
      <w:pPr>
        <w:autoSpaceDE w:val="0"/>
        <w:autoSpaceDN w:val="0"/>
        <w:adjustRightInd w:val="0"/>
        <w:spacing w:after="298" w:line="240" w:lineRule="auto"/>
        <w:rPr>
          <w:rFonts w:ascii="Times-Bold" w:hAnsi="Times-Bold" w:cs="Times-Bold"/>
          <w:b/>
          <w:bCs/>
          <w:kern w:val="0"/>
          <w:sz w:val="36"/>
          <w:szCs w:val="36"/>
          <w:lang w:val="en-GB"/>
        </w:rPr>
      </w:pPr>
      <w:r>
        <w:rPr>
          <w:rFonts w:ascii="Times-Bold" w:hAnsi="Times-Bold" w:cs="Times-Bold"/>
          <w:b/>
          <w:bCs/>
          <w:kern w:val="0"/>
          <w:sz w:val="36"/>
          <w:szCs w:val="36"/>
          <w:lang w:val="en-GB"/>
        </w:rPr>
        <w:t>Separate the scores</w:t>
      </w:r>
    </w:p>
    <w:p w14:paraId="325AC1CE" w14:textId="21FBBA9C" w:rsidR="00681B6F" w:rsidRPr="00681B6F" w:rsidRDefault="00681B6F" w:rsidP="00681B6F">
      <w:pPr>
        <w:autoSpaceDE w:val="0"/>
        <w:autoSpaceDN w:val="0"/>
        <w:adjustRightInd w:val="0"/>
        <w:spacing w:after="240" w:line="240" w:lineRule="auto"/>
        <w:rPr>
          <w:rFonts w:ascii="Times-Roman" w:hAnsi="Times-Roman" w:cs="Times-Roman"/>
          <w:kern w:val="0"/>
          <w:lang w:val="en-GB"/>
        </w:rPr>
      </w:pPr>
      <w:r>
        <w:rPr>
          <w:rFonts w:ascii="Times-Roman" w:hAnsi="Times-Roman" w:cs="Times-Roman"/>
          <w:kern w:val="0"/>
          <w:lang w:val="en-GB"/>
        </w:rPr>
        <w:t>Keep these as distinct fields:</w:t>
      </w:r>
    </w:p>
    <w:p w14:paraId="5EC9D539" w14:textId="77777777" w:rsidR="00681B6F" w:rsidRDefault="00681B6F" w:rsidP="00681B6F">
      <w:pPr>
        <w:autoSpaceDE w:val="0"/>
        <w:autoSpaceDN w:val="0"/>
        <w:adjustRightInd w:val="0"/>
        <w:spacing w:after="0" w:line="240" w:lineRule="auto"/>
        <w:rPr>
          <w:rFonts w:ascii="Courier New" w:hAnsi="Courier New" w:cs="Courier New"/>
          <w:kern w:val="0"/>
          <w:sz w:val="26"/>
          <w:szCs w:val="26"/>
          <w:lang w:val="en-GB"/>
        </w:rPr>
      </w:pPr>
      <w:r>
        <w:rPr>
          <w:rFonts w:ascii="Courier New" w:hAnsi="Courier New" w:cs="Courier New"/>
          <w:kern w:val="0"/>
          <w:sz w:val="26"/>
          <w:szCs w:val="26"/>
          <w:lang w:val="en-GB"/>
        </w:rPr>
        <w:t>NVD CVSS Base Score      = vendor/NVD technical severity</w:t>
      </w:r>
    </w:p>
    <w:p w14:paraId="0005E04D" w14:textId="77777777" w:rsidR="00681B6F" w:rsidRDefault="00681B6F" w:rsidP="00681B6F">
      <w:pPr>
        <w:autoSpaceDE w:val="0"/>
        <w:autoSpaceDN w:val="0"/>
        <w:adjustRightInd w:val="0"/>
        <w:spacing w:after="0" w:line="240" w:lineRule="auto"/>
        <w:rPr>
          <w:rFonts w:ascii="Courier New" w:hAnsi="Courier New" w:cs="Courier New"/>
          <w:kern w:val="0"/>
          <w:sz w:val="26"/>
          <w:szCs w:val="26"/>
          <w:lang w:val="en-GB"/>
        </w:rPr>
      </w:pPr>
      <w:r>
        <w:rPr>
          <w:rFonts w:ascii="Courier New" w:hAnsi="Courier New" w:cs="Courier New"/>
          <w:kern w:val="0"/>
          <w:sz w:val="26"/>
          <w:szCs w:val="26"/>
          <w:lang w:val="en-GB"/>
        </w:rPr>
        <w:t xml:space="preserve">Organisation Risk </w:t>
      </w:r>
      <w:proofErr w:type="gramStart"/>
      <w:r>
        <w:rPr>
          <w:rFonts w:ascii="Courier New" w:hAnsi="Courier New" w:cs="Courier New"/>
          <w:kern w:val="0"/>
          <w:sz w:val="26"/>
          <w:szCs w:val="26"/>
          <w:lang w:val="en-GB"/>
        </w:rPr>
        <w:t>Score  =</w:t>
      </w:r>
      <w:proofErr w:type="gramEnd"/>
      <w:r>
        <w:rPr>
          <w:rFonts w:ascii="Courier New" w:hAnsi="Courier New" w:cs="Courier New"/>
          <w:kern w:val="0"/>
          <w:sz w:val="26"/>
          <w:szCs w:val="26"/>
          <w:lang w:val="en-GB"/>
        </w:rPr>
        <w:t xml:space="preserve"> your environment-specific assessment</w:t>
      </w:r>
    </w:p>
    <w:p w14:paraId="1CCCCC4E" w14:textId="14CFC9D6" w:rsidR="00681B6F" w:rsidRDefault="00681B6F" w:rsidP="00681B6F">
      <w:pPr>
        <w:autoSpaceDE w:val="0"/>
        <w:autoSpaceDN w:val="0"/>
        <w:adjustRightInd w:val="0"/>
        <w:spacing w:after="0" w:line="240" w:lineRule="auto"/>
        <w:rPr>
          <w:rFonts w:ascii="Courier New" w:hAnsi="Courier New" w:cs="Courier New"/>
          <w:kern w:val="0"/>
          <w:sz w:val="26"/>
          <w:szCs w:val="26"/>
          <w:lang w:val="en-GB"/>
        </w:rPr>
      </w:pPr>
      <w:r>
        <w:rPr>
          <w:rFonts w:ascii="Courier New" w:hAnsi="Courier New" w:cs="Courier New"/>
          <w:kern w:val="0"/>
          <w:sz w:val="26"/>
          <w:szCs w:val="26"/>
          <w:lang w:val="en-GB"/>
        </w:rPr>
        <w:t>LLM Explanation          = reasoning and evidence for the difference</w:t>
      </w:r>
    </w:p>
    <w:p w14:paraId="5811B622" w14:textId="77777777" w:rsidR="00681B6F" w:rsidRPr="00681B6F" w:rsidRDefault="00681B6F" w:rsidP="00681B6F">
      <w:pPr>
        <w:autoSpaceDE w:val="0"/>
        <w:autoSpaceDN w:val="0"/>
        <w:adjustRightInd w:val="0"/>
        <w:spacing w:after="0" w:line="240" w:lineRule="auto"/>
        <w:rPr>
          <w:rFonts w:ascii="Courier New" w:hAnsi="Courier New" w:cs="Courier New"/>
          <w:kern w:val="0"/>
          <w:sz w:val="26"/>
          <w:szCs w:val="26"/>
          <w:lang w:val="en-GB"/>
        </w:rPr>
      </w:pPr>
    </w:p>
    <w:p w14:paraId="566F321F" w14:textId="77777777" w:rsidR="00681B6F" w:rsidRDefault="00681B6F" w:rsidP="00681B6F">
      <w:pPr>
        <w:autoSpaceDE w:val="0"/>
        <w:autoSpaceDN w:val="0"/>
        <w:adjustRightInd w:val="0"/>
        <w:spacing w:after="240" w:line="240" w:lineRule="auto"/>
        <w:rPr>
          <w:rFonts w:ascii="Times-Roman" w:hAnsi="Times-Roman" w:cs="Times-Roman"/>
          <w:kern w:val="0"/>
          <w:lang w:val="en-GB"/>
        </w:rPr>
      </w:pPr>
      <w:r>
        <w:rPr>
          <w:rFonts w:ascii="Times-Roman" w:hAnsi="Times-Roman" w:cs="Times-Roman"/>
          <w:kern w:val="0"/>
          <w:lang w:val="en-GB"/>
        </w:rPr>
        <w:lastRenderedPageBreak/>
        <w:t>The NVD score describes the vulnerability’s general technical characteristics. CVSS allows consumers to adjust the assessment using Threat and Environmental metrics, including exploit maturity, asset criticality, compensating controls, and confidentiality, integrity, and availability requirements</w:t>
      </w:r>
    </w:p>
    <w:p w14:paraId="3110B9D4" w14:textId="3E942377" w:rsidR="00681B6F" w:rsidRPr="00681B6F" w:rsidRDefault="00681B6F" w:rsidP="00681B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1B6F">
        <w:rPr>
          <w:rFonts w:ascii="Times New Roman" w:eastAsia="Times New Roman" w:hAnsi="Times New Roman" w:cs="Times New Roman"/>
          <w:b/>
          <w:bCs/>
          <w:kern w:val="0"/>
          <w:sz w:val="36"/>
          <w:szCs w:val="36"/>
          <w14:ligatures w14:val="none"/>
        </w:rPr>
        <w:t>Produce a second risk score</w:t>
      </w:r>
    </w:p>
    <w:p w14:paraId="69B5C3D1" w14:textId="77777777" w:rsidR="00681B6F" w:rsidRDefault="00681B6F" w:rsidP="00681B6F">
      <w:pPr>
        <w:spacing w:before="100" w:beforeAutospacing="1" w:after="100" w:afterAutospacing="1" w:line="240" w:lineRule="auto"/>
        <w:rPr>
          <w:rFonts w:ascii="Times New Roman" w:eastAsia="Times New Roman" w:hAnsi="Times New Roman" w:cs="Times New Roman"/>
          <w:kern w:val="0"/>
          <w14:ligatures w14:val="none"/>
        </w:rPr>
      </w:pPr>
      <w:r w:rsidRPr="00681B6F">
        <w:rPr>
          <w:rFonts w:ascii="Times New Roman" w:eastAsia="Times New Roman" w:hAnsi="Times New Roman" w:cs="Times New Roman"/>
          <w:kern w:val="0"/>
          <w14:ligatures w14:val="none"/>
        </w:rPr>
        <w:t>Rather than asking the LLM to invent a number, use a defined scoring model. The LLM can collect and justify inputs, while a deterministic program calculates the result.</w:t>
      </w:r>
    </w:p>
    <w:p w14:paraId="6AE3DFC4" w14:textId="77777777" w:rsidR="00681B6F" w:rsidRPr="00681B6F" w:rsidRDefault="00681B6F" w:rsidP="00681B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1B6F">
        <w:rPr>
          <w:rFonts w:ascii="Times New Roman" w:eastAsia="Times New Roman" w:hAnsi="Times New Roman" w:cs="Times New Roman"/>
          <w:b/>
          <w:bCs/>
          <w:kern w:val="0"/>
          <w:sz w:val="36"/>
          <w:szCs w:val="36"/>
          <w14:ligatures w14:val="none"/>
        </w:rPr>
        <w:t>Explain why your rating differs</w:t>
      </w:r>
    </w:p>
    <w:p w14:paraId="430C4E1A" w14:textId="77777777" w:rsidR="00681B6F" w:rsidRPr="00681B6F" w:rsidRDefault="00681B6F" w:rsidP="00681B6F">
      <w:pPr>
        <w:spacing w:before="100" w:beforeAutospacing="1" w:after="100" w:afterAutospacing="1" w:line="240" w:lineRule="auto"/>
        <w:rPr>
          <w:rFonts w:ascii="Times New Roman" w:eastAsia="Times New Roman" w:hAnsi="Times New Roman" w:cs="Times New Roman"/>
          <w:kern w:val="0"/>
          <w14:ligatures w14:val="none"/>
        </w:rPr>
      </w:pPr>
      <w:r w:rsidRPr="00681B6F">
        <w:rPr>
          <w:rFonts w:ascii="Times New Roman" w:eastAsia="Times New Roman" w:hAnsi="Times New Roman" w:cs="Times New Roman"/>
          <w:kern w:val="0"/>
          <w14:ligatures w14:val="none"/>
        </w:rPr>
        <w:t>The LLM can generate an auditable rationale such as:</w:t>
      </w:r>
    </w:p>
    <w:p w14:paraId="546F5D82" w14:textId="1C42D165" w:rsidR="00681B6F" w:rsidRDefault="00681B6F" w:rsidP="00681B6F">
      <w:pPr>
        <w:spacing w:before="100" w:beforeAutospacing="1" w:after="100" w:afterAutospacing="1" w:line="240" w:lineRule="auto"/>
        <w:rPr>
          <w:rFonts w:ascii="Times New Roman" w:eastAsia="Times New Roman" w:hAnsi="Times New Roman" w:cs="Times New Roman"/>
          <w:kern w:val="0"/>
          <w14:ligatures w14:val="none"/>
        </w:rPr>
      </w:pPr>
      <w:r w:rsidRPr="00681B6F">
        <w:rPr>
          <w:rFonts w:ascii="Times New Roman" w:eastAsia="Times New Roman" w:hAnsi="Times New Roman" w:cs="Times New Roman"/>
          <w:kern w:val="0"/>
          <w14:ligatures w14:val="none"/>
        </w:rPr>
        <w:t>NVD rates CVE-XXXX-YYYY as High because exploitation is possible over the network and can affect confidentiality and integrity. In our environment, the vulnerable endpoint is disabled, the service is isolated in a private subnet, and access is restricted through security groups. The residual risk is therefore assessed as Medium, subject to validation that the endpoint remains disabled.</w:t>
      </w:r>
    </w:p>
    <w:p w14:paraId="1CA98821" w14:textId="5C3723F4" w:rsidR="00681B6F" w:rsidRDefault="00681B6F" w:rsidP="00681B6F">
      <w:pPr>
        <w:pStyle w:val="my-2"/>
      </w:pPr>
      <w:r>
        <w:t>The strongest design is therefore:</w:t>
      </w:r>
    </w:p>
    <w:p w14:paraId="2ED81F39" w14:textId="77777777" w:rsidR="00681B6F" w:rsidRDefault="00681B6F" w:rsidP="00681B6F">
      <w:pPr>
        <w:pStyle w:val="HTMLPreformatted"/>
        <w:rPr>
          <w:rStyle w:val="HTMLCode"/>
          <w:rFonts w:ascii="inherit" w:hAnsi="inherit"/>
        </w:rPr>
      </w:pPr>
      <w:r>
        <w:rPr>
          <w:rStyle w:val="HTMLCode"/>
          <w:rFonts w:ascii="inherit" w:hAnsi="inherit"/>
        </w:rPr>
        <w:t>Official CVSS = baseline</w:t>
      </w:r>
    </w:p>
    <w:p w14:paraId="3432A141" w14:textId="77777777" w:rsidR="00681B6F" w:rsidRDefault="00681B6F" w:rsidP="00681B6F">
      <w:pPr>
        <w:pStyle w:val="HTMLPreformatted"/>
        <w:rPr>
          <w:rStyle w:val="HTMLCode"/>
          <w:rFonts w:ascii="inherit" w:hAnsi="inherit"/>
        </w:rPr>
      </w:pPr>
      <w:r>
        <w:rPr>
          <w:rStyle w:val="HTMLCode"/>
          <w:rFonts w:ascii="inherit" w:hAnsi="inherit"/>
        </w:rPr>
        <w:t>LLM = contextual analyst and evidence summariser</w:t>
      </w:r>
    </w:p>
    <w:p w14:paraId="15610266" w14:textId="77777777" w:rsidR="00681B6F" w:rsidRDefault="00681B6F" w:rsidP="00681B6F">
      <w:pPr>
        <w:pStyle w:val="HTMLPreformatted"/>
        <w:rPr>
          <w:rStyle w:val="HTMLCode"/>
          <w:rFonts w:ascii="inherit" w:hAnsi="inherit"/>
        </w:rPr>
      </w:pPr>
      <w:r>
        <w:rPr>
          <w:rStyle w:val="HTMLCode"/>
          <w:rFonts w:ascii="inherit" w:hAnsi="inherit"/>
        </w:rPr>
        <w:t>Rules/calculator = score computation</w:t>
      </w:r>
    </w:p>
    <w:p w14:paraId="45A5B6FB" w14:textId="77777777" w:rsidR="00681B6F" w:rsidRDefault="00681B6F" w:rsidP="00681B6F">
      <w:pPr>
        <w:pStyle w:val="HTMLPreformatted"/>
      </w:pPr>
      <w:r>
        <w:rPr>
          <w:rStyle w:val="HTMLCode"/>
          <w:rFonts w:ascii="inherit" w:hAnsi="inherit"/>
        </w:rPr>
        <w:t>Human = final risk decision</w:t>
      </w:r>
    </w:p>
    <w:p w14:paraId="095B1E6F" w14:textId="46B2D752" w:rsidR="00681B6F" w:rsidRPr="00681B6F" w:rsidRDefault="00681B6F" w:rsidP="00681B6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it scores: </w:t>
      </w:r>
      <w:r w:rsidRPr="00681B6F">
        <w:rPr>
          <w:rFonts w:ascii="Times New Roman" w:eastAsia="Times New Roman" w:hAnsi="Times New Roman" w:cs="Times New Roman"/>
          <w:kern w:val="0"/>
          <w14:ligatures w14:val="none"/>
        </w:rPr>
        <w:t>https://www.first.org/cvss/v3.1/user-guide</w:t>
      </w:r>
    </w:p>
    <w:p w14:paraId="2AE0A255" w14:textId="77777777" w:rsidR="00681B6F" w:rsidRPr="00B557B5" w:rsidRDefault="00681B6F"/>
    <w:sectPr w:rsidR="00681B6F" w:rsidRPr="00B55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20B0604020202020204"/>
    <w:charset w:val="00"/>
    <w:family w:val="roman"/>
    <w:notTrueType/>
    <w:pitch w:val="default"/>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578537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7B5"/>
    <w:rsid w:val="0034602A"/>
    <w:rsid w:val="00681B6F"/>
    <w:rsid w:val="00702ACD"/>
    <w:rsid w:val="0075338F"/>
    <w:rsid w:val="00B557B5"/>
    <w:rsid w:val="00C127EE"/>
    <w:rsid w:val="00C65F3C"/>
    <w:rsid w:val="00DD653F"/>
    <w:rsid w:val="00F9144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9C1D0"/>
  <w15:chartTrackingRefBased/>
  <w15:docId w15:val="{568A4EAE-441D-054A-89E3-391A0CA7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5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5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7B5"/>
    <w:rPr>
      <w:rFonts w:eastAsiaTheme="majorEastAsia" w:cstheme="majorBidi"/>
      <w:color w:val="272727" w:themeColor="text1" w:themeTint="D8"/>
    </w:rPr>
  </w:style>
  <w:style w:type="paragraph" w:styleId="Title">
    <w:name w:val="Title"/>
    <w:basedOn w:val="Normal"/>
    <w:next w:val="Normal"/>
    <w:link w:val="TitleChar"/>
    <w:uiPriority w:val="10"/>
    <w:qFormat/>
    <w:rsid w:val="00B55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7B5"/>
    <w:pPr>
      <w:spacing w:before="160"/>
      <w:jc w:val="center"/>
    </w:pPr>
    <w:rPr>
      <w:i/>
      <w:iCs/>
      <w:color w:val="404040" w:themeColor="text1" w:themeTint="BF"/>
    </w:rPr>
  </w:style>
  <w:style w:type="character" w:customStyle="1" w:styleId="QuoteChar">
    <w:name w:val="Quote Char"/>
    <w:basedOn w:val="DefaultParagraphFont"/>
    <w:link w:val="Quote"/>
    <w:uiPriority w:val="29"/>
    <w:rsid w:val="00B557B5"/>
    <w:rPr>
      <w:i/>
      <w:iCs/>
      <w:color w:val="404040" w:themeColor="text1" w:themeTint="BF"/>
    </w:rPr>
  </w:style>
  <w:style w:type="paragraph" w:styleId="ListParagraph">
    <w:name w:val="List Paragraph"/>
    <w:basedOn w:val="Normal"/>
    <w:uiPriority w:val="34"/>
    <w:qFormat/>
    <w:rsid w:val="00B557B5"/>
    <w:pPr>
      <w:ind w:left="720"/>
      <w:contextualSpacing/>
    </w:pPr>
  </w:style>
  <w:style w:type="character" w:styleId="IntenseEmphasis">
    <w:name w:val="Intense Emphasis"/>
    <w:basedOn w:val="DefaultParagraphFont"/>
    <w:uiPriority w:val="21"/>
    <w:qFormat/>
    <w:rsid w:val="00B557B5"/>
    <w:rPr>
      <w:i/>
      <w:iCs/>
      <w:color w:val="0F4761" w:themeColor="accent1" w:themeShade="BF"/>
    </w:rPr>
  </w:style>
  <w:style w:type="paragraph" w:styleId="IntenseQuote">
    <w:name w:val="Intense Quote"/>
    <w:basedOn w:val="Normal"/>
    <w:next w:val="Normal"/>
    <w:link w:val="IntenseQuoteChar"/>
    <w:uiPriority w:val="30"/>
    <w:qFormat/>
    <w:rsid w:val="00B55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7B5"/>
    <w:rPr>
      <w:i/>
      <w:iCs/>
      <w:color w:val="0F4761" w:themeColor="accent1" w:themeShade="BF"/>
    </w:rPr>
  </w:style>
  <w:style w:type="character" w:styleId="IntenseReference">
    <w:name w:val="Intense Reference"/>
    <w:basedOn w:val="DefaultParagraphFont"/>
    <w:uiPriority w:val="32"/>
    <w:qFormat/>
    <w:rsid w:val="00B557B5"/>
    <w:rPr>
      <w:b/>
      <w:bCs/>
      <w:smallCaps/>
      <w:color w:val="0F4761" w:themeColor="accent1" w:themeShade="BF"/>
      <w:spacing w:val="5"/>
    </w:rPr>
  </w:style>
  <w:style w:type="paragraph" w:styleId="HTMLPreformatted">
    <w:name w:val="HTML Preformatted"/>
    <w:basedOn w:val="Normal"/>
    <w:link w:val="HTMLPreformattedChar"/>
    <w:uiPriority w:val="99"/>
    <w:unhideWhenUsed/>
    <w:rsid w:val="00B55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B557B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557B5"/>
    <w:rPr>
      <w:rFonts w:ascii="Courier New" w:eastAsia="Times New Roman" w:hAnsi="Courier New" w:cs="Courier New"/>
      <w:sz w:val="20"/>
      <w:szCs w:val="20"/>
    </w:rPr>
  </w:style>
  <w:style w:type="character" w:styleId="Hyperlink">
    <w:name w:val="Hyperlink"/>
    <w:basedOn w:val="DefaultParagraphFont"/>
    <w:uiPriority w:val="99"/>
    <w:unhideWhenUsed/>
    <w:rsid w:val="00B557B5"/>
    <w:rPr>
      <w:color w:val="467886" w:themeColor="hyperlink"/>
      <w:u w:val="single"/>
    </w:rPr>
  </w:style>
  <w:style w:type="character" w:styleId="UnresolvedMention">
    <w:name w:val="Unresolved Mention"/>
    <w:basedOn w:val="DefaultParagraphFont"/>
    <w:uiPriority w:val="99"/>
    <w:semiHidden/>
    <w:unhideWhenUsed/>
    <w:rsid w:val="00B557B5"/>
    <w:rPr>
      <w:color w:val="605E5C"/>
      <w:shd w:val="clear" w:color="auto" w:fill="E1DFDD"/>
    </w:rPr>
  </w:style>
  <w:style w:type="character" w:styleId="FollowedHyperlink">
    <w:name w:val="FollowedHyperlink"/>
    <w:basedOn w:val="DefaultParagraphFont"/>
    <w:uiPriority w:val="99"/>
    <w:semiHidden/>
    <w:unhideWhenUsed/>
    <w:rsid w:val="00B557B5"/>
    <w:rPr>
      <w:color w:val="96607D" w:themeColor="followedHyperlink"/>
      <w:u w:val="single"/>
    </w:rPr>
  </w:style>
  <w:style w:type="table" w:styleId="TableGrid">
    <w:name w:val="Table Grid"/>
    <w:basedOn w:val="TableNormal"/>
    <w:uiPriority w:val="59"/>
    <w:rsid w:val="00B557B5"/>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557B5"/>
    <w:pPr>
      <w:autoSpaceDE w:val="0"/>
      <w:autoSpaceDN w:val="0"/>
      <w:adjustRightInd w:val="0"/>
      <w:spacing w:after="0" w:line="240" w:lineRule="auto"/>
    </w:pPr>
    <w:rPr>
      <w:rFonts w:ascii="Arial" w:hAnsi="Arial" w:cs="Arial"/>
      <w:color w:val="000000"/>
      <w:kern w:val="0"/>
      <w:lang w:val="en-US"/>
      <w14:ligatures w14:val="none"/>
    </w:rPr>
  </w:style>
  <w:style w:type="paragraph" w:customStyle="1" w:styleId="my-2">
    <w:name w:val="my-2"/>
    <w:basedOn w:val="Normal"/>
    <w:rsid w:val="00681B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block">
    <w:name w:val="inline-block"/>
    <w:basedOn w:val="DefaultParagraphFont"/>
    <w:rsid w:val="00681B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irst.org/cvss/calculator/3.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vd.nist.gov/vuln/detail/cve-2025-37164" TargetMode="External"/><Relationship Id="rId11" Type="http://schemas.openxmlformats.org/officeDocument/2006/relationships/image" Target="media/image4.png"/><Relationship Id="rId5" Type="http://schemas.openxmlformats.org/officeDocument/2006/relationships/hyperlink" Target="https://www.cve.org/CVERecord?id=CVE-2025-37164"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 JIA WEI#</dc:creator>
  <cp:keywords/>
  <dc:description/>
  <cp:lastModifiedBy>#NEO JIA WEI#</cp:lastModifiedBy>
  <cp:revision>1</cp:revision>
  <dcterms:created xsi:type="dcterms:W3CDTF">2026-09-19T15:52:00Z</dcterms:created>
  <dcterms:modified xsi:type="dcterms:W3CDTF">2026-09-19T16:15:00Z</dcterms:modified>
</cp:coreProperties>
</file>